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122"/>
        <w:gridCol w:w="1559"/>
        <w:gridCol w:w="5379"/>
      </w:tblGrid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</w:pPr>
            <w:r w:rsidRPr="0082380B"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  <w:t xml:space="preserve">Schaal van </w:t>
            </w:r>
            <w:r w:rsidRPr="00DA73F6"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  <w:t>Richter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  <w:t>Beschrijving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b/>
                <w:color w:val="333333"/>
                <w:sz w:val="12"/>
                <w:szCs w:val="12"/>
                <w:lang w:eastAsia="nl-NL"/>
              </w:rPr>
              <w:t>Uitwerking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0 tot 1,9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Minuscuul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Alleen waargenomen door</w:t>
            </w:r>
            <w:r w:rsidRPr="0082380B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 </w:t>
            </w:r>
            <w:hyperlink r:id="rId5" w:history="1">
              <w:r w:rsidRPr="0082380B">
                <w:rPr>
                  <w:rFonts w:ascii="Verdana" w:eastAsia="Times New Roman" w:hAnsi="Verdana" w:cs="Times New Roman"/>
                  <w:color w:val="428BCA"/>
                  <w:sz w:val="12"/>
                  <w:szCs w:val="12"/>
                  <w:lang w:eastAsia="nl-NL"/>
                </w:rPr>
                <w:t>seismografen</w:t>
              </w:r>
            </w:hyperlink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; wordt zelden door iemand gevoeld en zal nooit ook maar enige schade veroorzaken.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2 tot 2,9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Zeer licht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Meetbaar; wordt slechts door weinig mensen waargenomen onder gunstige omstandigheden; hoogstens enkele (zeer) lichte objecten kunnen bewegen; vrijwel nooit enige vorm van schade.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3 tot 3,9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Licht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Veel mensen nemen trillingen als van een voorbijrijdende vrachtwagen waar; tegen elkaar staande glazen rinkelen; hooguit zeer lichte schade mogelijk zoals losse dakpannen.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4 tot 4,9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Gemiddeld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Door vrijwel iedereen gevoelde trillingen als van zwaar voorbijrijdend verkeer; vrije slinger beweegt duidelijk; deuren, glazen en borden rammelen, raamluiken klapperen; geparkeerde auto's schommelen; lichte schade mogelijk aan bijvoorbeeld schoorstenen; eventueel ontstaan kleine scheuren in wegdek of oude en zwakke gebouwen.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5 tot 5,9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Vrij krachtig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Heftige trillingen die door iedereen met schrik worden waargenomen; meubels bewegen; voorwerpen vallen om; klokken blijven stilstaan; schoorstenen kunnen instorten; scheuren in wegdek; lichte tot matige schade aan gewone gebouwen zoals scheuren in stucwerk; oude en zwakke gebouwen kunnen zware schade oplopen of (gedeeltelijk) instorten; veel mensen verlaten in paniek hun huizen; over het algemeen geen sprake van levensgevaar, wel gevaar van verwondingen.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 xml:space="preserve"> tot 6,9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Krachtig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Wordt door alle betrokkenen met grote schrik ervaren; ook in een rijdende auto voelbaar; paniek; mensen verlaten snel hun huizen; grote scheuren in wegdek; veel gebouwen lopen matige tot zware schade op; oude en zwakke gebouwen kunnen helemaal instorten; bomen zwaaien heen en weer als bij sterke wind; tientallen doden en gewonden mogelijk; aan de kust kunnen</w:t>
            </w:r>
            <w:r w:rsidRPr="0082380B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 </w:t>
            </w:r>
            <w:hyperlink r:id="rId6" w:history="1">
              <w:r w:rsidRPr="0082380B">
                <w:rPr>
                  <w:rFonts w:ascii="Verdana" w:eastAsia="Times New Roman" w:hAnsi="Verdana" w:cs="Times New Roman"/>
                  <w:color w:val="428BCA"/>
                  <w:sz w:val="12"/>
                  <w:szCs w:val="12"/>
                  <w:lang w:eastAsia="nl-NL"/>
                </w:rPr>
                <w:t>vloedgolven</w:t>
              </w:r>
            </w:hyperlink>
            <w:r w:rsidRPr="0082380B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 </w:t>
            </w: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optreden; grote schade mogelijk binnen een straal van meer dan 150 kilometer.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7 tot 7,9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Zwaar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Grootschalige paniek; mensen trachten in paniek naar buiten te komen; acuut levensgevaar in veel gebouwen; alleen sterke gebouwen blijven staan; grond kan helemaal openscheuren; sommige bomen ontwortelen; vaak honderden doden en gewonden; gas- en waterleidingen breken; gedeeltelijk catastrofale gevolgen; aan kusten grote vloedgolven mogelijk.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8 tot 8,9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Zeer zwaar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Grote verwoesting; vrijwel alle gebouwen worden onbewoonbaar of storten helemaal in; mogelijk vele duizenden doden en gewonden; bomen ontwortelen massaal; elektriciteitspalen begeven het; acuut levensgevaar zowel binnen als buiten gebouwen; aan kusten catastrofale, tot 40 meter hoge vloedgolven mogelijk.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9,0 tot 9,9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Catastrofaal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Grote ramp met mogelijk totale verwoesting over duizenden kilometers; alle gebouwen storten volledig in; lokale aardschollen verschuiven; rotsen en gebergtes kunnen scheuren; honderd</w:t>
            </w:r>
            <w:bookmarkStart w:id="0" w:name="_GoBack"/>
            <w:bookmarkEnd w:id="0"/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 xml:space="preserve">duizenden of zelfs miljoenen doden en gewonden mogelijk en plaatselijk zelfs volledige vernietiging van alle leven; enorme vloedgolven die mogelijk meerdere continenten zullen aantasten. 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10,0 tot 11,9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Totaal catastrofaal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Niets blijft overeind over mogelijk vele duizenden kilometers; landschap verandert sterk; gevaar voor veel levensvormen; grote verschuivingen van de</w:t>
            </w:r>
            <w:r w:rsidRPr="0082380B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 </w:t>
            </w:r>
            <w:hyperlink r:id="rId7" w:history="1">
              <w:r w:rsidRPr="0082380B">
                <w:rPr>
                  <w:rFonts w:ascii="Verdana" w:eastAsia="Times New Roman" w:hAnsi="Verdana" w:cs="Times New Roman"/>
                  <w:color w:val="428BCA"/>
                  <w:sz w:val="12"/>
                  <w:szCs w:val="12"/>
                  <w:lang w:eastAsia="nl-NL"/>
                </w:rPr>
                <w:t>tektonische platen</w:t>
              </w:r>
            </w:hyperlink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; landen en eilanden veranderen van plaats; verandering van de</w:t>
            </w:r>
            <w:r w:rsidRPr="0082380B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 </w:t>
            </w:r>
            <w:hyperlink r:id="rId8" w:history="1">
              <w:r w:rsidRPr="0082380B">
                <w:rPr>
                  <w:rFonts w:ascii="Verdana" w:eastAsia="Times New Roman" w:hAnsi="Verdana" w:cs="Times New Roman"/>
                  <w:color w:val="428BCA"/>
                  <w:sz w:val="12"/>
                  <w:szCs w:val="12"/>
                  <w:lang w:eastAsia="nl-NL"/>
                </w:rPr>
                <w:t>nutatie</w:t>
              </w:r>
            </w:hyperlink>
            <w:r w:rsidRPr="0082380B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 </w:t>
            </w: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of de omwentelingssnelheid van de aarde.</w:t>
            </w:r>
          </w:p>
        </w:tc>
      </w:tr>
      <w:tr w:rsidR="0082380B" w:rsidRPr="0082380B" w:rsidTr="0082380B">
        <w:tc>
          <w:tcPr>
            <w:tcW w:w="2122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12,0 en hoger.</w:t>
            </w:r>
          </w:p>
        </w:tc>
        <w:tc>
          <w:tcPr>
            <w:tcW w:w="155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Totale verwoesting</w:t>
            </w:r>
          </w:p>
        </w:tc>
        <w:tc>
          <w:tcPr>
            <w:tcW w:w="5379" w:type="dxa"/>
          </w:tcPr>
          <w:p w:rsidR="0082380B" w:rsidRPr="00DA73F6" w:rsidRDefault="0082380B" w:rsidP="0082380B">
            <w:pPr>
              <w:spacing w:line="257" w:lineRule="atLeast"/>
              <w:jc w:val="both"/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</w:pPr>
            <w:r w:rsidRPr="00DA73F6">
              <w:rPr>
                <w:rFonts w:ascii="Verdana" w:eastAsia="Times New Roman" w:hAnsi="Verdana" w:cs="Times New Roman"/>
                <w:color w:val="333333"/>
                <w:sz w:val="12"/>
                <w:szCs w:val="12"/>
                <w:lang w:eastAsia="nl-NL"/>
              </w:rPr>
              <w:t>Volledig catastrofale en zeer diep ingrijpende geografische veranderingen; gevaar voor alle levensvormen; landschap verandert volledig; maximale gevolgen voor de geografische ordening van water en land; huidige bestaande wereldkaarten zouden onbruikbaar zijn geworden.</w:t>
            </w:r>
          </w:p>
        </w:tc>
      </w:tr>
    </w:tbl>
    <w:p w:rsidR="00970FC3" w:rsidRPr="0082380B" w:rsidRDefault="0082380B">
      <w:pPr>
        <w:rPr>
          <w:sz w:val="12"/>
          <w:szCs w:val="12"/>
        </w:rPr>
      </w:pPr>
    </w:p>
    <w:sectPr w:rsidR="00970FC3" w:rsidRPr="0082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F6"/>
    <w:rsid w:val="0082380B"/>
    <w:rsid w:val="00896189"/>
    <w:rsid w:val="00A6320D"/>
    <w:rsid w:val="00D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5131-86DA-4512-A545-892DFD5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A73F6"/>
  </w:style>
  <w:style w:type="character" w:styleId="Hyperlink">
    <w:name w:val="Hyperlink"/>
    <w:basedOn w:val="Standaardalinea-lettertype"/>
    <w:uiPriority w:val="99"/>
    <w:semiHidden/>
    <w:unhideWhenUsed/>
    <w:rsid w:val="00DA73F6"/>
    <w:rPr>
      <w:color w:val="0000FF"/>
      <w:u w:val="single"/>
    </w:rPr>
  </w:style>
  <w:style w:type="table" w:styleId="Tabelraster">
    <w:name w:val="Table Grid"/>
    <w:basedOn w:val="Standaardtabel"/>
    <w:uiPriority w:val="39"/>
    <w:rsid w:val="0082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utat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Tektonische_pla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wikipedia.org/wiki/Tsunami" TargetMode="External"/><Relationship Id="rId5" Type="http://schemas.openxmlformats.org/officeDocument/2006/relationships/hyperlink" Target="http://nl.wikipedia.org/wiki/Seismogra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6EB4-97FB-47B8-8CFD-0393DB60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Bernike</dc:creator>
  <cp:keywords/>
  <dc:description/>
  <cp:lastModifiedBy>Bernike</cp:lastModifiedBy>
  <cp:revision>1</cp:revision>
  <dcterms:created xsi:type="dcterms:W3CDTF">2015-05-21T20:36:00Z</dcterms:created>
  <dcterms:modified xsi:type="dcterms:W3CDTF">2015-05-21T20:53:00Z</dcterms:modified>
</cp:coreProperties>
</file>