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351" w:type="dxa"/>
        <w:tblInd w:w="0" w:type="dxa"/>
        <w:tblLook w:val="04A0" w:firstRow="1" w:lastRow="0" w:firstColumn="1" w:lastColumn="0" w:noHBand="0" w:noVBand="1"/>
      </w:tblPr>
      <w:tblGrid>
        <w:gridCol w:w="3021"/>
        <w:gridCol w:w="6330"/>
      </w:tblGrid>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Seksistisch speelgoed</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Speelgoed wat onderverdeeld is in jongens- en meisjesspeelgoed. Bijvoorbeeld: autootjes voor jongens en poppen voor meisjes.</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aangeleerde/aangeboren eigenschappen</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Eigenschappen die iemand heeft kunnen aangeboren zijn of aangeleerd.</w:t>
            </w:r>
          </w:p>
          <w:p w:rsidR="00A24710" w:rsidRDefault="00A24710" w:rsidP="003C1042">
            <w:pPr>
              <w:rPr>
                <w:lang w:val="en-US"/>
              </w:rPr>
            </w:pPr>
            <w:r>
              <w:rPr>
                <w:lang w:val="en-US"/>
              </w:rPr>
              <w:t>Aangeboren: je kunt met je stem klanken maken. Dat is aangeboren.</w:t>
            </w:r>
          </w:p>
          <w:p w:rsidR="00A24710" w:rsidRDefault="00A24710" w:rsidP="003C1042">
            <w:pPr>
              <w:rPr>
                <w:lang w:val="en-US"/>
              </w:rPr>
            </w:pPr>
            <w:r>
              <w:rPr>
                <w:lang w:val="en-US"/>
              </w:rPr>
              <w:t>Aangeleerd: de taal die je spreekt is aangeleerd.</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beeldvorming</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Je vormt je een beeld van iets, iemand of een situatie. Maar dit beeld klopt niet altijd. Op een doos bouwblokken staat een foto van een jongen die met de blokken zit te spelen. Daardoor zou je kunnen denken dat alleen jongens het leuk vinden hiermee te spelen. Maar dat is natuurlijk niet zo.</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compromis</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Het vinden van een middenweg tussen twee verschillende meningen.</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cultuur</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Als een groep mensen dezelfde waarden, normen en gewoonten heeft, noemen we dit een cultuur.</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cultuuroverdracht</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Het doorgeven van opvattingen, normen en waarden (van cultuur dus). Bijvoorbeeld: een vader die zijn zoon ieder weekend meeneemt om te gaan vissen.</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discriminatie</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Discriminatie betekent eigenlijk: “verschil maken”. Mensen ongelijk behandelen terwijl ze in dezelfde situatie zitten. Bijvoorbeeld als twee kinderen allebei graag een barbiepop willen voor hun verjaardag, maar alleen één kind krijgt deze pop, omdat ze een meisje is. Het andere kind is een jongen en hij krijgt iets waarvan men vindt dat het jongensspeelgoed is.</w:t>
            </w:r>
          </w:p>
          <w:p w:rsidR="00A24710" w:rsidRDefault="00A24710" w:rsidP="003C1042">
            <w:pPr>
              <w:rPr>
                <w:lang w:val="en-US"/>
              </w:rPr>
            </w:pPr>
            <w:r>
              <w:rPr>
                <w:lang w:val="en-US"/>
              </w:rPr>
              <w:t>Of de vader die wel zijn zoon meeneemt om te gaan vissen, maar niet zijn dochter.</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emancipatie</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 xml:space="preserve">Het streven naar gelijke rechten en zelfstandigheid. (bijvoorbeeld: vrouwenemancipatie </w:t>
            </w:r>
            <w:r w:rsidRPr="00A32C2F">
              <w:rPr>
                <w:lang w:val="en-US"/>
              </w:rPr>
              <w:sym w:font="Wingdings" w:char="F0E0"/>
            </w:r>
            <w:r>
              <w:rPr>
                <w:lang w:val="en-US"/>
              </w:rPr>
              <w:t xml:space="preserve"> gelijke rechten voor mannen en vrouwen).</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Etnische afkomst</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Dit is het land of het volk waar iemand vandaan komt.</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identificatie</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Het vaststellen van iemands identiteit (bijvoorbeeld met een id-bewijs)</w:t>
            </w:r>
          </w:p>
          <w:p w:rsidR="00A24710" w:rsidRDefault="00A24710" w:rsidP="003C1042">
            <w:pPr>
              <w:rPr>
                <w:lang w:val="en-US"/>
              </w:rPr>
            </w:pPr>
            <w:r>
              <w:rPr>
                <w:lang w:val="en-US"/>
              </w:rPr>
              <w:t>Ook:</w:t>
            </w:r>
          </w:p>
          <w:p w:rsidR="00A24710" w:rsidRDefault="00A24710" w:rsidP="003C1042">
            <w:pPr>
              <w:rPr>
                <w:lang w:val="en-US"/>
              </w:rPr>
            </w:pPr>
            <w:r>
              <w:rPr>
                <w:lang w:val="en-US"/>
              </w:rPr>
              <w:t>Het proces waarmee iemand zich vereenzelvigd met een andere persoon en de gedragingen, meningen, etc van deze persoon overneemt. (Bijvoorbeeld: een klein jongetje dat opkijkt naar zijn vader en precies zoals hij wil worden).</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mening</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Als je zegt hoe je ergens over denkt, geef je mening.</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normbesef</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Het besef van het bestaan van regels.</w:t>
            </w:r>
          </w:p>
          <w:p w:rsidR="00A24710" w:rsidRDefault="00A24710" w:rsidP="003C1042">
            <w:pPr>
              <w:rPr>
                <w:lang w:val="en-US"/>
              </w:rPr>
            </w:pPr>
            <w:r>
              <w:rPr>
                <w:lang w:val="en-US"/>
              </w:rPr>
              <w:t>Je weet wat kan en wat niet kan (bijvoorbeeld: een plagerijtje kan, maar pesten kan niet)</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persoonlijkheidsvorming</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De ontwikkeling van je persoonlijkheid. Dit wordt beinvloed door je opvoeding, door je vriendschappen en de manier waarop je jezelf indentificeert met je omgeving.</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rolpatroon</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Een rolpatroon is hoe iemand zich volgens anderen moet gedragen. Bijvoorbeeld: meisjes zijn lief en jongens zijn stoer.</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Selectieve beeldvorming</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 xml:space="preserve">Beeldvorming is eigenlijk een indruk krijgen van iets of van iemand. Dat doe je door middel van waarneming. Waarneming is vaak selectief. Je hoort of ziet alleen dat wat je wilt horen of zien. Bijvoorbeeld: Tijdens een saaie les op school hoor je alleen datgene wat je wel interessant vindt. De rest onthoud je niet. Daarnaast </w:t>
            </w:r>
            <w:r>
              <w:rPr>
                <w:lang w:val="en-US"/>
              </w:rPr>
              <w:lastRenderedPageBreak/>
              <w:t>neem je ook nog je eigen ervaringen mee, die ervoor zorgen dat jij bepaalde zaken belangrijker vindt dan andere.</w:t>
            </w:r>
          </w:p>
          <w:p w:rsidR="00A24710" w:rsidRDefault="00A24710" w:rsidP="003C1042">
            <w:pPr>
              <w:rPr>
                <w:lang w:val="en-US"/>
              </w:rPr>
            </w:pPr>
            <w:r>
              <w:rPr>
                <w:lang w:val="en-US"/>
              </w:rPr>
              <w:t>Als je waarneming selectief is, is je beeldvorming dat ook. De indruk die jij hebt van iets of iemand is dus gebaseerd op dat wat jij zag/belangrijk vond.</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lastRenderedPageBreak/>
              <w:t>stereotype</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Dit is als je er automatisch van uit gaat dat er bij een bepaalde groep bepaalde kenmerken horen. Je bedoelt er niets mee, je probeert ook niet bewust je mening te geven. Het is simpelweg een beeld dat je hebt. Denk maar eens aan een Fransman. Grote kans dat je denkt aan de Eiffeltoren en een stokbrood.</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vooroordelen</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We noemen iets een vooroordeel als je iets zegt over iets of iemand, zonder dat je de feiten goed kent. Een vooroordeel is vaak gebaseerd op stereotypering. Het verschil is dat er bij een vooroordeel een negatieve lading aan gegeven wordt. Bijvoorbeeld: Belgen zijn dom, dikke mensen zijn gezellig, meisjes zijn slap. Het is niet gebaseerd op feiten.</w:t>
            </w:r>
          </w:p>
        </w:tc>
      </w:tr>
      <w:tr w:rsidR="00A24710" w:rsidTr="003C1042">
        <w:tc>
          <w:tcPr>
            <w:tcW w:w="3021" w:type="dxa"/>
            <w:tcBorders>
              <w:top w:val="single" w:sz="4" w:space="0" w:color="auto"/>
              <w:left w:val="single" w:sz="4" w:space="0" w:color="auto"/>
              <w:bottom w:val="single" w:sz="4" w:space="0" w:color="auto"/>
              <w:right w:val="single" w:sz="4" w:space="0" w:color="auto"/>
            </w:tcBorders>
            <w:hideMark/>
          </w:tcPr>
          <w:p w:rsidR="00A24710" w:rsidRDefault="00A24710" w:rsidP="003C1042">
            <w:pPr>
              <w:rPr>
                <w:lang w:val="en-US"/>
              </w:rPr>
            </w:pPr>
            <w:r>
              <w:rPr>
                <w:lang w:val="en-US"/>
              </w:rPr>
              <w:t>Waarden en normen</w:t>
            </w:r>
          </w:p>
        </w:tc>
        <w:tc>
          <w:tcPr>
            <w:tcW w:w="6330" w:type="dxa"/>
            <w:tcBorders>
              <w:top w:val="single" w:sz="4" w:space="0" w:color="auto"/>
              <w:left w:val="single" w:sz="4" w:space="0" w:color="auto"/>
              <w:bottom w:val="single" w:sz="4" w:space="0" w:color="auto"/>
              <w:right w:val="single" w:sz="4" w:space="0" w:color="auto"/>
            </w:tcBorders>
          </w:tcPr>
          <w:p w:rsidR="00A24710" w:rsidRDefault="00A24710" w:rsidP="003C1042">
            <w:pPr>
              <w:rPr>
                <w:lang w:val="en-US"/>
              </w:rPr>
            </w:pPr>
            <w:r>
              <w:rPr>
                <w:lang w:val="en-US"/>
              </w:rPr>
              <w:t>Alles wat iemand belangrijk vindt noemen we een waarde. Bijvoorbeeld: gezelligheid, gezondheid, etc.</w:t>
            </w:r>
          </w:p>
          <w:p w:rsidR="00A24710" w:rsidRDefault="00A24710" w:rsidP="003C1042">
            <w:pPr>
              <w:rPr>
                <w:lang w:val="en-US"/>
              </w:rPr>
            </w:pPr>
            <w:r>
              <w:rPr>
                <w:lang w:val="en-US"/>
              </w:rPr>
              <w:t>Een gedragsregel die bij een waarde hoort, noemen we een norm.</w:t>
            </w:r>
          </w:p>
          <w:p w:rsidR="00A24710" w:rsidRDefault="00A24710" w:rsidP="003C1042">
            <w:pPr>
              <w:rPr>
                <w:lang w:val="en-US"/>
              </w:rPr>
            </w:pPr>
            <w:r>
              <w:rPr>
                <w:lang w:val="en-US"/>
              </w:rPr>
              <w:t>Bijvoorbeeld: bij gezondheid zou kunnen horen dat je gezond wilt leven en dus iedere week sport. Iedere week sporten is dan voor jou een norm.</w:t>
            </w:r>
          </w:p>
        </w:tc>
        <w:bookmarkStart w:id="0" w:name="_GoBack"/>
        <w:bookmarkEnd w:id="0"/>
      </w:tr>
    </w:tbl>
    <w:p w:rsidR="00D9412D" w:rsidRDefault="00D9412D"/>
    <w:sectPr w:rsidR="00D94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10"/>
    <w:rsid w:val="00A24710"/>
    <w:rsid w:val="00D94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805F-CAC2-4B3B-95AF-91E3F9AD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47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7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Sonnewijser</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Braak</dc:creator>
  <cp:keywords/>
  <dc:description/>
  <cp:lastModifiedBy>Rianne van den Braak</cp:lastModifiedBy>
  <cp:revision>1</cp:revision>
  <dcterms:created xsi:type="dcterms:W3CDTF">2020-03-10T12:11:00Z</dcterms:created>
  <dcterms:modified xsi:type="dcterms:W3CDTF">2020-03-10T12:13:00Z</dcterms:modified>
</cp:coreProperties>
</file>