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69D483AE" w:rsidR="00F64BA7" w:rsidRPr="00503E57" w:rsidRDefault="008C1B20" w:rsidP="00F64BA7">
      <w:pPr>
        <w:pStyle w:val="Titel"/>
        <w:rPr>
          <w:rFonts w:ascii="Arial Black" w:hAnsi="Arial Blac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FC45D4" wp14:editId="193EDD10">
            <wp:simplePos x="0" y="0"/>
            <wp:positionH relativeFrom="column">
              <wp:posOffset>3794760</wp:posOffset>
            </wp:positionH>
            <wp:positionV relativeFrom="paragraph">
              <wp:posOffset>-749935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574181">
        <w:rPr>
          <w:sz w:val="52"/>
        </w:rPr>
        <w:t>B</w:t>
      </w:r>
      <w:r w:rsidR="00F64BA7" w:rsidRPr="00574181">
        <w:rPr>
          <w:sz w:val="52"/>
        </w:rPr>
        <w:t xml:space="preserve">eoordelingsformulier </w:t>
      </w:r>
      <w:r w:rsidR="000960FB" w:rsidRPr="00574181">
        <w:rPr>
          <w:sz w:val="52"/>
        </w:rPr>
        <w:t>Visiedocument</w:t>
      </w:r>
      <w:r w:rsidR="000960FB" w:rsidRPr="00503E57">
        <w:rPr>
          <w:rFonts w:ascii="Arial Black" w:hAnsi="Arial Black"/>
          <w:sz w:val="44"/>
          <w:szCs w:val="44"/>
        </w:rPr>
        <w:t xml:space="preserve"> </w:t>
      </w:r>
    </w:p>
    <w:p w14:paraId="071F1056" w14:textId="7D94D138" w:rsidR="00F64BA7" w:rsidRPr="00677301" w:rsidRDefault="00F64BA7" w:rsidP="00334A31">
      <w:pPr>
        <w:pStyle w:val="Titel"/>
        <w:rPr>
          <w:sz w:val="44"/>
        </w:rPr>
      </w:pPr>
      <w:r w:rsidRPr="00677301">
        <w:rPr>
          <w:sz w:val="44"/>
        </w:rPr>
        <w:t xml:space="preserve">IBS </w:t>
      </w:r>
      <w:r w:rsidR="000960FB" w:rsidRPr="00677301">
        <w:rPr>
          <w:sz w:val="44"/>
        </w:rPr>
        <w:t xml:space="preserve">De stad van de toekomst </w:t>
      </w:r>
      <w:r w:rsidR="00D31540" w:rsidRPr="00677301">
        <w:rPr>
          <w:sz w:val="44"/>
        </w:rPr>
        <w:t>–</w:t>
      </w:r>
      <w:r w:rsidR="000960FB" w:rsidRPr="00677301">
        <w:rPr>
          <w:sz w:val="44"/>
        </w:rPr>
        <w:t xml:space="preserve"> </w:t>
      </w:r>
      <w:r w:rsidR="00432B22" w:rsidRPr="00677301">
        <w:rPr>
          <w:sz w:val="44"/>
        </w:rPr>
        <w:t>Water en energie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5423EF23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432B22">
              <w:rPr>
                <w:rFonts w:eastAsia="Arial Unicode MS" w:cs="Arial"/>
              </w:rPr>
              <w:t>W</w:t>
            </w:r>
            <w:r>
              <w:rPr>
                <w:rFonts w:eastAsia="Arial Unicode MS" w:cs="Arial"/>
              </w:rPr>
              <w:t>43</w:t>
            </w:r>
          </w:p>
        </w:tc>
      </w:tr>
      <w:tr w:rsidR="00294476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294476" w:rsidRPr="00FA19A3" w:rsidRDefault="00294476" w:rsidP="00294476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3F975197" w:rsidR="00294476" w:rsidRPr="00FA19A3" w:rsidRDefault="00294476" w:rsidP="00294476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Adviseur duurzame leefomgeving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Toetsduur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A437B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A437B" w:rsidRPr="00FA19A3" w:rsidRDefault="00DA437B" w:rsidP="00DA437B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Voorwaarde voor 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BB6F6AD" w14:textId="77777777" w:rsidR="00DA437B" w:rsidRPr="00683012" w:rsidRDefault="00DA437B" w:rsidP="00DA437B">
            <w:pPr>
              <w:pStyle w:val="Lijstalinea"/>
              <w:numPr>
                <w:ilvl w:val="0"/>
                <w:numId w:val="27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683012">
              <w:rPr>
                <w:rFonts w:eastAsia="Times New Roman" w:cs="Arial"/>
                <w:iCs/>
                <w:szCs w:val="20"/>
                <w:lang w:eastAsia="nl-NL"/>
              </w:rPr>
              <w:t>Zie checklist ‘Verslag schrijven’ voor voorwaarden schriftelijk product inleveren.</w:t>
            </w:r>
          </w:p>
          <w:p w14:paraId="55946B25" w14:textId="4168DF13" w:rsidR="00DA437B" w:rsidRPr="00DA437B" w:rsidRDefault="00DA437B" w:rsidP="00DA437B">
            <w:pPr>
              <w:pStyle w:val="Lijstalinea"/>
              <w:numPr>
                <w:ilvl w:val="0"/>
                <w:numId w:val="27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>
              <w:rPr>
                <w:lang w:eastAsia="nl-NL"/>
              </w:rPr>
              <w:t>Je hebt een visuele weergave gemaakt die gepresenteerd wordt tijdens het seminar</w:t>
            </w:r>
          </w:p>
        </w:tc>
      </w:tr>
      <w:tr w:rsidR="00DA437B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DA437B" w:rsidRPr="00FA19A3" w:rsidRDefault="00DA437B" w:rsidP="00DA437B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DA437B" w:rsidRPr="00FA19A3" w:rsidRDefault="00DA437B" w:rsidP="00DA437B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DA437B" w:rsidRPr="00FA19A3" w:rsidRDefault="00DA437B" w:rsidP="00DA437B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DA437B" w:rsidRPr="00FA19A3" w:rsidRDefault="00DA437B" w:rsidP="00DA437B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DA437B" w:rsidRPr="00FA19A3" w:rsidRDefault="00DA437B" w:rsidP="00DA437B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Yuverta</w:t>
            </w:r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0CE8108B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7D051F">
              <w:rPr>
                <w:sz w:val="18"/>
                <w:szCs w:val="18"/>
              </w:rPr>
              <w:t>water- en energiegebruik in de stad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3A7E3396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9E499B">
              <w:rPr>
                <w:bCs/>
                <w:sz w:val="18"/>
              </w:rPr>
              <w:t>op het gebied</w:t>
            </w:r>
            <w:r w:rsidR="007F1936">
              <w:rPr>
                <w:bCs/>
                <w:sz w:val="18"/>
              </w:rPr>
              <w:t xml:space="preserve"> </w:t>
            </w:r>
            <w:r w:rsidR="009E499B" w:rsidRPr="00C26A91">
              <w:rPr>
                <w:bCs/>
                <w:sz w:val="18"/>
              </w:rPr>
              <w:t>duurzame water- en energievoorziening en de wijze waarop de maatschappij omgaat met hemel- en afvalwater.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Best </w:t>
            </w:r>
            <w:proofErr w:type="spellStart"/>
            <w:r>
              <w:rPr>
                <w:b/>
                <w:bCs/>
              </w:rPr>
              <w:t>practice</w:t>
            </w:r>
            <w:proofErr w:type="spellEnd"/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een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390681AC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3B44B8" w:rsidRPr="00C26A91">
              <w:rPr>
                <w:bCs/>
                <w:sz w:val="18"/>
                <w:szCs w:val="18"/>
              </w:rPr>
              <w:t xml:space="preserve">duurzame water- en energievoorziening </w:t>
            </w:r>
            <w:r w:rsidR="006A42F5" w:rsidRPr="006A42F5">
              <w:rPr>
                <w:bCs/>
                <w:sz w:val="18"/>
                <w:szCs w:val="18"/>
              </w:rPr>
              <w:t>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beargumenteerd welke onderdelen uit de best </w:t>
            </w:r>
            <w:proofErr w:type="spellStart"/>
            <w:r w:rsidRPr="00530D41">
              <w:rPr>
                <w:bCs/>
                <w:sz w:val="18"/>
                <w:szCs w:val="18"/>
              </w:rPr>
              <w:t>practice</w:t>
            </w:r>
            <w:proofErr w:type="spellEnd"/>
            <w:r w:rsidRPr="00530D41">
              <w:rPr>
                <w:bCs/>
                <w:sz w:val="18"/>
                <w:szCs w:val="18"/>
              </w:rPr>
              <w:t xml:space="preserve">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Pr="003B44B8" w:rsidRDefault="00100304" w:rsidP="00100304">
      <w:pPr>
        <w:pStyle w:val="Kop2"/>
        <w:rPr>
          <w:rFonts w:ascii="Arial Black" w:hAnsi="Arial Black"/>
          <w:color w:val="000644"/>
        </w:rPr>
      </w:pPr>
      <w:r w:rsidRPr="003B44B8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FA0D" w14:textId="77777777" w:rsidR="005B7E4D" w:rsidRDefault="005B7E4D" w:rsidP="00947598">
      <w:pPr>
        <w:spacing w:after="0" w:line="240" w:lineRule="auto"/>
      </w:pPr>
      <w:r>
        <w:separator/>
      </w:r>
    </w:p>
  </w:endnote>
  <w:endnote w:type="continuationSeparator" w:id="0">
    <w:p w14:paraId="3835621E" w14:textId="77777777" w:rsidR="005B7E4D" w:rsidRDefault="005B7E4D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715E" w14:textId="49401E86" w:rsidR="001E09AB" w:rsidRDefault="005C7C9B">
    <w:pPr>
      <w:pStyle w:val="Voettekst"/>
    </w:pPr>
    <w:r>
      <w:t xml:space="preserve">Schooljaar </w:t>
    </w:r>
    <w:r w:rsidR="00E61D09">
      <w:t>202</w:t>
    </w:r>
    <w:r w:rsidR="00F135A7">
      <w:t>2</w:t>
    </w:r>
    <w:r w:rsidR="00E61D09">
      <w:t>-202</w:t>
    </w:r>
    <w:r w:rsidR="00F135A7">
      <w:t>3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1E09AB">
      <w:t>Water en energie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8D87" w14:textId="77777777" w:rsidR="005B7E4D" w:rsidRDefault="005B7E4D" w:rsidP="00947598">
      <w:pPr>
        <w:spacing w:after="0" w:line="240" w:lineRule="auto"/>
      </w:pPr>
      <w:r>
        <w:separator/>
      </w:r>
    </w:p>
  </w:footnote>
  <w:footnote w:type="continuationSeparator" w:id="0">
    <w:p w14:paraId="1EDEB743" w14:textId="77777777" w:rsidR="005B7E4D" w:rsidRDefault="005B7E4D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DB2"/>
    <w:multiLevelType w:val="hybridMultilevel"/>
    <w:tmpl w:val="19AC3A6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0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8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396905923">
    <w:abstractNumId w:val="23"/>
  </w:num>
  <w:num w:numId="2" w16cid:durableId="421687150">
    <w:abstractNumId w:val="19"/>
  </w:num>
  <w:num w:numId="3" w16cid:durableId="442847145">
    <w:abstractNumId w:val="13"/>
  </w:num>
  <w:num w:numId="4" w16cid:durableId="582178823">
    <w:abstractNumId w:val="8"/>
  </w:num>
  <w:num w:numId="5" w16cid:durableId="1467505642">
    <w:abstractNumId w:val="26"/>
  </w:num>
  <w:num w:numId="6" w16cid:durableId="1616330457">
    <w:abstractNumId w:val="9"/>
  </w:num>
  <w:num w:numId="7" w16cid:durableId="387146438">
    <w:abstractNumId w:val="17"/>
  </w:num>
  <w:num w:numId="8" w16cid:durableId="1565603142">
    <w:abstractNumId w:val="16"/>
  </w:num>
  <w:num w:numId="9" w16cid:durableId="236477788">
    <w:abstractNumId w:val="2"/>
  </w:num>
  <w:num w:numId="10" w16cid:durableId="1021973330">
    <w:abstractNumId w:val="5"/>
  </w:num>
  <w:num w:numId="11" w16cid:durableId="1430390413">
    <w:abstractNumId w:val="11"/>
  </w:num>
  <w:num w:numId="12" w16cid:durableId="431247394">
    <w:abstractNumId w:val="4"/>
  </w:num>
  <w:num w:numId="13" w16cid:durableId="724833328">
    <w:abstractNumId w:val="18"/>
  </w:num>
  <w:num w:numId="14" w16cid:durableId="44839708">
    <w:abstractNumId w:val="24"/>
  </w:num>
  <w:num w:numId="15" w16cid:durableId="281227351">
    <w:abstractNumId w:val="22"/>
  </w:num>
  <w:num w:numId="16" w16cid:durableId="1809202352">
    <w:abstractNumId w:val="12"/>
  </w:num>
  <w:num w:numId="17" w16cid:durableId="967080048">
    <w:abstractNumId w:val="10"/>
  </w:num>
  <w:num w:numId="18" w16cid:durableId="1381173599">
    <w:abstractNumId w:val="0"/>
  </w:num>
  <w:num w:numId="19" w16cid:durableId="1633906444">
    <w:abstractNumId w:val="21"/>
  </w:num>
  <w:num w:numId="20" w16cid:durableId="1511607426">
    <w:abstractNumId w:val="6"/>
  </w:num>
  <w:num w:numId="21" w16cid:durableId="113451630">
    <w:abstractNumId w:val="3"/>
  </w:num>
  <w:num w:numId="22" w16cid:durableId="842553778">
    <w:abstractNumId w:val="14"/>
  </w:num>
  <w:num w:numId="23" w16cid:durableId="1689873229">
    <w:abstractNumId w:val="20"/>
  </w:num>
  <w:num w:numId="24" w16cid:durableId="460802293">
    <w:abstractNumId w:val="25"/>
  </w:num>
  <w:num w:numId="25" w16cid:durableId="1494176182">
    <w:abstractNumId w:val="15"/>
  </w:num>
  <w:num w:numId="26" w16cid:durableId="936787145">
    <w:abstractNumId w:val="7"/>
  </w:num>
  <w:num w:numId="27" w16cid:durableId="44245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09AB"/>
    <w:rsid w:val="001E2EAC"/>
    <w:rsid w:val="001F54C4"/>
    <w:rsid w:val="002407C9"/>
    <w:rsid w:val="00246C71"/>
    <w:rsid w:val="00256C06"/>
    <w:rsid w:val="00260439"/>
    <w:rsid w:val="0029379B"/>
    <w:rsid w:val="00294476"/>
    <w:rsid w:val="002B0FB4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44B8"/>
    <w:rsid w:val="003B600D"/>
    <w:rsid w:val="003C7B52"/>
    <w:rsid w:val="004029E6"/>
    <w:rsid w:val="00431DD2"/>
    <w:rsid w:val="00432056"/>
    <w:rsid w:val="00432B22"/>
    <w:rsid w:val="004371E5"/>
    <w:rsid w:val="00441541"/>
    <w:rsid w:val="00455E5D"/>
    <w:rsid w:val="00483D0E"/>
    <w:rsid w:val="0048584C"/>
    <w:rsid w:val="004B644F"/>
    <w:rsid w:val="004F45F6"/>
    <w:rsid w:val="004F523D"/>
    <w:rsid w:val="004F52CF"/>
    <w:rsid w:val="00503E57"/>
    <w:rsid w:val="00506BF8"/>
    <w:rsid w:val="00511965"/>
    <w:rsid w:val="00530D41"/>
    <w:rsid w:val="00562D80"/>
    <w:rsid w:val="00574181"/>
    <w:rsid w:val="0058386E"/>
    <w:rsid w:val="005B22CB"/>
    <w:rsid w:val="005B6B01"/>
    <w:rsid w:val="005B7106"/>
    <w:rsid w:val="005B7223"/>
    <w:rsid w:val="005B7E4D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77301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051F"/>
    <w:rsid w:val="007D1B6F"/>
    <w:rsid w:val="007D30F2"/>
    <w:rsid w:val="007F1936"/>
    <w:rsid w:val="007F38B1"/>
    <w:rsid w:val="00825008"/>
    <w:rsid w:val="008914F0"/>
    <w:rsid w:val="008966CC"/>
    <w:rsid w:val="008A4D20"/>
    <w:rsid w:val="008C1B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499B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A437B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EC7D50"/>
    <w:rsid w:val="00F135A7"/>
    <w:rsid w:val="00F45692"/>
    <w:rsid w:val="00F64BA7"/>
    <w:rsid w:val="00F76165"/>
    <w:rsid w:val="00FA19A3"/>
    <w:rsid w:val="00FC163C"/>
    <w:rsid w:val="00FF7054"/>
    <w:rsid w:val="25C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BBF37-FFA0-48CE-97E7-FD59C0CD3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3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808</Words>
  <Characters>4444</Characters>
  <Application>Microsoft Office Word</Application>
  <DocSecurity>0</DocSecurity>
  <Lines>37</Lines>
  <Paragraphs>10</Paragraphs>
  <ScaleCrop>false</ScaleCrop>
  <Company>Helicon Opleidingen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Thomas Noordeloos</cp:lastModifiedBy>
  <cp:revision>15</cp:revision>
  <dcterms:created xsi:type="dcterms:W3CDTF">2021-08-29T09:46:00Z</dcterms:created>
  <dcterms:modified xsi:type="dcterms:W3CDTF">2022-06-30T10:13:00Z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