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tabs>
                <w:tab w:val="left" w:pos="178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Actieve overheid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Een actieve overheid heeft meer invloed op het dagelijkse leven van mensen. Door middel van wetten en regels proberen ze de sociale ongelijkheid te verminderen.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tabs>
                <w:tab w:val="left" w:pos="178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Afschrikking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Als je weet dat je bijv. een flinke straf en een strafblad kunt krijgen voor het drinken van alcohol als minderjarige, laat je het eerder.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tabs>
                <w:tab w:val="left" w:pos="178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Argument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Redenen waarmee je kunt uitleggen waarom jouw mening goed is.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tabs>
                <w:tab w:val="left" w:pos="178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Asociaal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Geen rekening houden met anderen.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 xml:space="preserve">Belangen 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Het voordeel dat je ergens bij hebt.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Belangtegenstelling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Het belang van de een botst met het belang van de ander.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Beeldvorming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Het ontstaan van een opvatting.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Bijkomende straf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Een straf bovenop de hoofdstraf die iets te maken heeft met het delict. Bijv. je rijbewijs inleveren bij veel te hard rijden.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Cultuur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Het geheel aan gewoonten en (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gedrags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)regels dat bij een volk of stam hoort. Denk aan gewoonten en gebruiken, godsdienst, normen en waarden, bestaanswijze, muziek en voorwerpen, eetgewoonten en wijze van kleden, bouwwerken.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Feit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Iets wat echt gebeurd is en wat je dus kunt bewijzen.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tabs>
                <w:tab w:val="left" w:pos="24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Geschreven regels</w:t>
            </w: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Staan in wetten en reglementen.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tabs>
                <w:tab w:val="left" w:pos="24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Geldboete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Betalen van een bedrag als sanctie op gedrag dat verboden is.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tabs>
                <w:tab w:val="left" w:pos="24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Groepsnorm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(Ongeschreven) regels die binnen een groep gelden.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tabs>
                <w:tab w:val="left" w:pos="24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Imitatie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Nadoen van het gedrag van soortgenoten.</w:t>
            </w:r>
          </w:p>
        </w:tc>
      </w:tr>
      <w:tr w:rsidR="00FD0AF2" w:rsidRPr="003E6CFF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Maatschappelijk probleem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Een probleem:</w:t>
            </w:r>
          </w:p>
          <w:p w:rsidR="00FD0AF2" w:rsidRPr="003E6CFF" w:rsidRDefault="00FD0AF2" w:rsidP="00FD0AF2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Waar v</w:t>
            </w:r>
            <w:r w:rsidRPr="003E6CFF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eel mensen last van hebben</w:t>
            </w: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.</w:t>
            </w:r>
          </w:p>
          <w:p w:rsidR="00FD0AF2" w:rsidRDefault="00FD0AF2" w:rsidP="00FD0AF2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Waar m</w:t>
            </w:r>
            <w:r w:rsidRPr="003E6CFF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 xml:space="preserve">ensen verschillende meningen over de oorzaak en </w:t>
            </w: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 xml:space="preserve">de oplossing </w:t>
            </w:r>
            <w:r w:rsidRPr="003E6CFF"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hebben</w:t>
            </w: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.</w:t>
            </w:r>
          </w:p>
          <w:p w:rsidR="00FD0AF2" w:rsidRDefault="00FD0AF2" w:rsidP="00FD0AF2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Dat veel aandacht krijgt in de media.</w:t>
            </w:r>
          </w:p>
          <w:p w:rsidR="00FD0AF2" w:rsidRPr="003E6CFF" w:rsidRDefault="00FD0AF2" w:rsidP="00FD0AF2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Waar de politiek zich voor een oplossing mee bemoeit.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 xml:space="preserve">Macht 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 xml:space="preserve">De mogelijkheid om het gedrag van anderen te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beinvloeden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Media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TV, radio, internet, kranten.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 xml:space="preserve">Massamedia 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Informatie wordt door veel mensen gezien, gehoord of gelezen. Denk aan TV, radio, internet, kranten en tijdschriften.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 xml:space="preserve">Mening 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Hoe je ergens over denkt is jouw mening.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Normen en Waarden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Regels over hoe jij en anderen zich moeten gedragen en principes die jij belangrijk vindt in het leven.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Openbaar ministerie (OM)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Alle officieren van justitie samen.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 xml:space="preserve">Overheid 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De overheid is het hoogst bevoegd gezag op een bepaald territorium of grondgebied.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Overtreding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Strafbare feiten die minder erg zijn.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Preventie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Het voorkomen van crimineel gedrag.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Rolpatroon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De plaats van mannen en vrouwen in de maatschappij, opvattingen hierover zijn sterk cultuurbepalend.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Samenleving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Alle mensen samen en hoe ze met elkaar omgaan.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Sanctie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Manieren waarop iemand laat merken of je iets goed of fout hebt gedaan.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Strafbaar gedrag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Het overtreden van wetsregels.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Strafbeschikking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Wanneer de officier van justitie een straf oplegt.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Strafblad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Hierin staat voor welk misdrijf je in het verleden bent gestraft.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Sociale media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Een verzamelbegrip voor online platforms waar de gebruikers met of zonder tussenkomst van een professionele redactie, de inhoud verzorgen. Bekende platforms zijn: Facebook, Twitter, Instagram en WhatsApp.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Status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Maatschappelijk aanzien.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Vooroordelen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Een ongegronde reden die vaak gebaseerd is op een stereotype beeld.</w:t>
            </w:r>
          </w:p>
        </w:tc>
      </w:tr>
      <w:tr w:rsidR="00FD0AF2" w:rsidTr="00365FAA">
        <w:tc>
          <w:tcPr>
            <w:tcW w:w="2830" w:type="dxa"/>
          </w:tcPr>
          <w:p w:rsidR="00FD0AF2" w:rsidRPr="009758F9" w:rsidRDefault="00FD0AF2" w:rsidP="00365F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58F9">
              <w:rPr>
                <w:rFonts w:asciiTheme="majorHAnsi" w:hAnsiTheme="majorHAnsi" w:cstheme="majorHAnsi"/>
                <w:sz w:val="24"/>
                <w:szCs w:val="24"/>
              </w:rPr>
              <w:t>Wet</w:t>
            </w:r>
          </w:p>
        </w:tc>
        <w:tc>
          <w:tcPr>
            <w:tcW w:w="6232" w:type="dxa"/>
          </w:tcPr>
          <w:p w:rsidR="00FD0AF2" w:rsidRDefault="00FD0AF2" w:rsidP="00365FAA">
            <w:pP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nl-NL"/>
              </w:rPr>
              <w:t>Regel die door de overheid is ingesteld en waaraan iedereen zich moet houden.</w:t>
            </w:r>
          </w:p>
        </w:tc>
      </w:tr>
    </w:tbl>
    <w:p w:rsidR="0018635A" w:rsidRDefault="00FD0AF2">
      <w:bookmarkStart w:id="0" w:name="_GoBack"/>
      <w:bookmarkEnd w:id="0"/>
    </w:p>
    <w:sectPr w:rsidR="0018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B1D"/>
    <w:multiLevelType w:val="hybridMultilevel"/>
    <w:tmpl w:val="6FC425C8"/>
    <w:lvl w:ilvl="0" w:tplc="E3A4B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2"/>
    <w:rsid w:val="00687F39"/>
    <w:rsid w:val="00866341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60A42-0406-4946-BFD5-D1D1C68F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0A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0AF2"/>
    <w:pPr>
      <w:ind w:left="720"/>
      <w:contextualSpacing/>
    </w:pPr>
  </w:style>
  <w:style w:type="table" w:styleId="Tabelraster">
    <w:name w:val="Table Grid"/>
    <w:basedOn w:val="Standaardtabel"/>
    <w:uiPriority w:val="39"/>
    <w:rsid w:val="00FD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2022-03-25T07:24:00Z</dcterms:created>
  <dcterms:modified xsi:type="dcterms:W3CDTF">2022-03-25T07:24:00Z</dcterms:modified>
</cp:coreProperties>
</file>