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C9F95" w14:textId="77777777" w:rsidR="00F1680C" w:rsidRDefault="00C351D7" w:rsidP="00F1680C">
      <w:pPr>
        <w:rPr>
          <w:b/>
          <w:bCs/>
          <w:sz w:val="32"/>
        </w:rPr>
      </w:pPr>
      <w:r>
        <w:rPr>
          <w:b/>
          <w:bCs/>
          <w:sz w:val="32"/>
        </w:rPr>
        <w:t>Reflectie :  6</w:t>
      </w:r>
      <w:r w:rsidR="00F97DDC">
        <w:rPr>
          <w:b/>
          <w:bCs/>
          <w:sz w:val="32"/>
        </w:rPr>
        <w:t>. Watje blazen</w:t>
      </w:r>
    </w:p>
    <w:p w14:paraId="56F32292" w14:textId="77777777" w:rsidR="00F1680C" w:rsidRDefault="00F1680C" w:rsidP="00F1680C">
      <w:pPr>
        <w:rPr>
          <w:rFonts w:ascii="Times" w:hAnsi="Times"/>
          <w:i/>
          <w:iCs/>
          <w:sz w:val="24"/>
          <w:szCs w:val="24"/>
        </w:rPr>
      </w:pPr>
    </w:p>
    <w:p w14:paraId="4882163A" w14:textId="10D47461" w:rsidR="002306A1" w:rsidRPr="002306A1" w:rsidRDefault="009B79AA" w:rsidP="0076779B">
      <w:pPr>
        <w:rPr>
          <w:rFonts w:ascii="Times" w:hAnsi="Times"/>
          <w:iCs/>
          <w:sz w:val="24"/>
        </w:rPr>
      </w:pPr>
      <w:r w:rsidRPr="001D203E">
        <w:rPr>
          <w:noProof/>
          <w:lang w:eastAsia="nl-NL"/>
        </w:rPr>
        <w:drawing>
          <wp:inline distT="0" distB="0" distL="0" distR="0" wp14:anchorId="2377CB5E" wp14:editId="11980A6B">
            <wp:extent cx="2324100" cy="1955800"/>
            <wp:effectExtent l="0" t="0" r="12700" b="0"/>
            <wp:docPr id="1" name="Afbeelding 1" descr="fot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955800"/>
                    </a:xfrm>
                    <a:prstGeom prst="rect">
                      <a:avLst/>
                    </a:prstGeom>
                    <a:noFill/>
                    <a:ln>
                      <a:noFill/>
                    </a:ln>
                  </pic:spPr>
                </pic:pic>
              </a:graphicData>
            </a:graphic>
          </wp:inline>
        </w:drawing>
      </w:r>
    </w:p>
    <w:p w14:paraId="419B8B15" w14:textId="77777777" w:rsidR="002306A1" w:rsidRDefault="002306A1" w:rsidP="0076779B">
      <w:pPr>
        <w:rPr>
          <w:rFonts w:ascii="Times" w:hAnsi="Times"/>
          <w:i/>
          <w:iCs/>
          <w:sz w:val="24"/>
        </w:rPr>
      </w:pPr>
    </w:p>
    <w:p w14:paraId="07338092" w14:textId="77777777" w:rsidR="0076779B" w:rsidRDefault="0076779B" w:rsidP="0076779B">
      <w:pPr>
        <w:rPr>
          <w:rFonts w:ascii="Times" w:hAnsi="Times"/>
          <w:i/>
          <w:iCs/>
          <w:sz w:val="24"/>
        </w:rPr>
      </w:pPr>
      <w:r>
        <w:rPr>
          <w:rFonts w:ascii="Times" w:hAnsi="Times"/>
          <w:i/>
          <w:iCs/>
          <w:sz w:val="24"/>
        </w:rPr>
        <w:t>Beschrijving</w:t>
      </w:r>
      <w:r w:rsidR="005C3601">
        <w:rPr>
          <w:rFonts w:ascii="Times" w:hAnsi="Times"/>
          <w:i/>
          <w:iCs/>
          <w:sz w:val="24"/>
        </w:rPr>
        <w:t>:</w:t>
      </w:r>
    </w:p>
    <w:p w14:paraId="5DD80FA5" w14:textId="77777777" w:rsidR="00143933" w:rsidRPr="00143933" w:rsidRDefault="00143933" w:rsidP="00143933">
      <w:pPr>
        <w:rPr>
          <w:sz w:val="24"/>
          <w:szCs w:val="24"/>
        </w:rPr>
      </w:pPr>
      <w:r>
        <w:rPr>
          <w:sz w:val="24"/>
          <w:szCs w:val="24"/>
        </w:rPr>
        <w:t>De opdracht komt</w:t>
      </w:r>
      <w:r w:rsidRPr="00143933">
        <w:rPr>
          <w:sz w:val="24"/>
          <w:szCs w:val="24"/>
        </w:rPr>
        <w:t xml:space="preserve"> uit het proefjescircuit voor de middenbouw van de </w:t>
      </w:r>
      <w:r w:rsidRPr="00143933">
        <w:rPr>
          <w:b/>
          <w:sz w:val="24"/>
          <w:szCs w:val="24"/>
        </w:rPr>
        <w:t>Grote Rekendag 2005</w:t>
      </w:r>
      <w:r w:rsidRPr="00143933">
        <w:rPr>
          <w:sz w:val="24"/>
          <w:szCs w:val="24"/>
        </w:rPr>
        <w:t>. Het doel is via de p</w:t>
      </w:r>
      <w:r>
        <w:rPr>
          <w:sz w:val="24"/>
          <w:szCs w:val="24"/>
        </w:rPr>
        <w:t>roef</w:t>
      </w:r>
      <w:r w:rsidRPr="00143933">
        <w:rPr>
          <w:sz w:val="24"/>
          <w:szCs w:val="24"/>
        </w:rPr>
        <w:t xml:space="preserve"> gegevens te verzamelen en die vervolgens te verwerken in een grafiek. Een uitgebreide versie van deze activiteit is te vinden op: </w:t>
      </w:r>
      <w:hyperlink r:id="rId8" w:history="1">
        <w:r w:rsidRPr="00143933">
          <w:rPr>
            <w:rStyle w:val="Hyperlink"/>
            <w:sz w:val="24"/>
            <w:szCs w:val="24"/>
          </w:rPr>
          <w:t>http://www.fi.uu.nl/rekenweb/grotereke</w:t>
        </w:r>
        <w:r w:rsidR="009B79AA">
          <w:rPr>
            <w:rStyle w:val="Hyperlink"/>
            <w:sz w:val="24"/>
            <w:szCs w:val="24"/>
          </w:rPr>
          <w:t>ndag/2005/middenbouw/</w:t>
        </w:r>
      </w:hyperlink>
    </w:p>
    <w:p w14:paraId="44DD0608" w14:textId="77777777" w:rsidR="00143933" w:rsidRPr="00143933" w:rsidRDefault="00143933" w:rsidP="00143933">
      <w:pPr>
        <w:rPr>
          <w:i/>
          <w:sz w:val="24"/>
          <w:szCs w:val="24"/>
        </w:rPr>
      </w:pPr>
    </w:p>
    <w:p w14:paraId="6E3D399E" w14:textId="77777777" w:rsidR="00143933" w:rsidRPr="00143933" w:rsidRDefault="00143933" w:rsidP="00143933">
      <w:pPr>
        <w:rPr>
          <w:i/>
          <w:sz w:val="24"/>
          <w:szCs w:val="24"/>
        </w:rPr>
      </w:pPr>
      <w:r w:rsidRPr="00143933">
        <w:rPr>
          <w:i/>
          <w:sz w:val="24"/>
          <w:szCs w:val="24"/>
        </w:rPr>
        <w:t>Voor welke</w:t>
      </w:r>
      <w:bookmarkStart w:id="0" w:name="_GoBack"/>
      <w:bookmarkEnd w:id="0"/>
      <w:r w:rsidRPr="00143933">
        <w:rPr>
          <w:i/>
          <w:sz w:val="24"/>
          <w:szCs w:val="24"/>
        </w:rPr>
        <w:t xml:space="preserve"> groepen geschikt?</w:t>
      </w:r>
    </w:p>
    <w:p w14:paraId="3DD86500" w14:textId="77777777" w:rsidR="00143933" w:rsidRPr="00143933" w:rsidRDefault="00143933" w:rsidP="00143933">
      <w:pPr>
        <w:rPr>
          <w:sz w:val="24"/>
          <w:szCs w:val="24"/>
        </w:rPr>
      </w:pPr>
      <w:r w:rsidRPr="00143933">
        <w:rPr>
          <w:sz w:val="24"/>
          <w:szCs w:val="24"/>
        </w:rPr>
        <w:t>Middenbouw, voor groep 4 is een aanpassing nodig (zie tips voor gebruik in de klas).</w:t>
      </w:r>
    </w:p>
    <w:p w14:paraId="31A77B8E" w14:textId="77777777" w:rsidR="00143933" w:rsidRPr="00143933" w:rsidRDefault="00143933" w:rsidP="00143933">
      <w:pPr>
        <w:rPr>
          <w:sz w:val="24"/>
          <w:szCs w:val="24"/>
        </w:rPr>
      </w:pPr>
    </w:p>
    <w:p w14:paraId="013BC62A" w14:textId="77777777" w:rsidR="00143933" w:rsidRPr="00143933" w:rsidRDefault="00143933" w:rsidP="00143933">
      <w:pPr>
        <w:rPr>
          <w:i/>
          <w:sz w:val="24"/>
          <w:szCs w:val="24"/>
        </w:rPr>
      </w:pPr>
      <w:r w:rsidRPr="00143933">
        <w:rPr>
          <w:i/>
          <w:sz w:val="24"/>
          <w:szCs w:val="24"/>
        </w:rPr>
        <w:t>Welk domein?</w:t>
      </w:r>
    </w:p>
    <w:p w14:paraId="6D2DE8FC" w14:textId="77777777" w:rsidR="00143933" w:rsidRPr="00143933" w:rsidRDefault="00143933" w:rsidP="00143933">
      <w:pPr>
        <w:rPr>
          <w:sz w:val="24"/>
          <w:szCs w:val="24"/>
        </w:rPr>
      </w:pPr>
      <w:r w:rsidRPr="00143933">
        <w:rPr>
          <w:sz w:val="24"/>
          <w:szCs w:val="24"/>
        </w:rPr>
        <w:t xml:space="preserve">Statistiek, in het bijzonder gegevens verwerken; </w:t>
      </w:r>
    </w:p>
    <w:p w14:paraId="15500070" w14:textId="77777777" w:rsidR="00143933" w:rsidRPr="00143933" w:rsidRDefault="00143933" w:rsidP="00143933">
      <w:pPr>
        <w:rPr>
          <w:sz w:val="24"/>
          <w:szCs w:val="24"/>
        </w:rPr>
      </w:pPr>
      <w:r w:rsidRPr="00143933">
        <w:rPr>
          <w:sz w:val="24"/>
          <w:szCs w:val="24"/>
        </w:rPr>
        <w:t xml:space="preserve">Meten, bij de proef watje blazen worden afstanden gemeten;  </w:t>
      </w:r>
    </w:p>
    <w:p w14:paraId="392D957D" w14:textId="77777777" w:rsidR="00143933" w:rsidRPr="00143933" w:rsidRDefault="00143933" w:rsidP="00143933">
      <w:pPr>
        <w:rPr>
          <w:sz w:val="24"/>
          <w:szCs w:val="24"/>
        </w:rPr>
      </w:pPr>
    </w:p>
    <w:p w14:paraId="24CCBD38" w14:textId="77777777" w:rsidR="00143933" w:rsidRPr="00143933" w:rsidRDefault="00143933" w:rsidP="00143933">
      <w:pPr>
        <w:rPr>
          <w:i/>
          <w:sz w:val="24"/>
          <w:szCs w:val="24"/>
        </w:rPr>
      </w:pPr>
      <w:r w:rsidRPr="00143933">
        <w:rPr>
          <w:i/>
          <w:sz w:val="24"/>
          <w:szCs w:val="24"/>
        </w:rPr>
        <w:t>Reken-Wiskundige achtergrond</w:t>
      </w:r>
      <w:r w:rsidR="005C3601">
        <w:rPr>
          <w:i/>
          <w:sz w:val="24"/>
          <w:szCs w:val="24"/>
        </w:rPr>
        <w:t>:</w:t>
      </w:r>
    </w:p>
    <w:p w14:paraId="5D83DAE5" w14:textId="77777777" w:rsidR="00143933" w:rsidRPr="00143933" w:rsidRDefault="00143933" w:rsidP="00143933">
      <w:pPr>
        <w:rPr>
          <w:sz w:val="24"/>
          <w:szCs w:val="24"/>
        </w:rPr>
      </w:pPr>
      <w:r w:rsidRPr="00143933">
        <w:rPr>
          <w:sz w:val="24"/>
          <w:szCs w:val="24"/>
        </w:rPr>
        <w:t xml:space="preserve">In deze activiteit staat het verzamelen en weergeven van gegevens centraal. </w:t>
      </w:r>
    </w:p>
    <w:p w14:paraId="26715CF5" w14:textId="77777777" w:rsidR="00143933" w:rsidRPr="00143933" w:rsidRDefault="00615967" w:rsidP="00143933">
      <w:pPr>
        <w:rPr>
          <w:sz w:val="24"/>
          <w:szCs w:val="24"/>
        </w:rPr>
      </w:pPr>
      <w:r>
        <w:rPr>
          <w:sz w:val="24"/>
          <w:szCs w:val="24"/>
        </w:rPr>
        <w:t>Er wordt een</w:t>
      </w:r>
      <w:r w:rsidR="00143933">
        <w:rPr>
          <w:sz w:val="24"/>
          <w:szCs w:val="24"/>
        </w:rPr>
        <w:t xml:space="preserve"> proef</w:t>
      </w:r>
      <w:r w:rsidR="00143933" w:rsidRPr="00143933">
        <w:rPr>
          <w:sz w:val="24"/>
          <w:szCs w:val="24"/>
        </w:rPr>
        <w:t xml:space="preserve"> uitgevoerd, de resultaten worden gemeten, geteld etc. en genoteerd. Daarna </w:t>
      </w:r>
      <w:r w:rsidR="00143933">
        <w:rPr>
          <w:sz w:val="24"/>
          <w:szCs w:val="24"/>
        </w:rPr>
        <w:t>worden deze gegevens</w:t>
      </w:r>
      <w:r w:rsidR="00143933" w:rsidRPr="00143933">
        <w:rPr>
          <w:sz w:val="24"/>
          <w:szCs w:val="24"/>
        </w:rPr>
        <w:t xml:space="preserve"> geordend en weergegeven in een grafiek. </w:t>
      </w:r>
    </w:p>
    <w:p w14:paraId="6607EDB5" w14:textId="77777777" w:rsidR="00143933" w:rsidRPr="00143933" w:rsidRDefault="00143933" w:rsidP="00143933">
      <w:pPr>
        <w:rPr>
          <w:sz w:val="24"/>
          <w:szCs w:val="24"/>
        </w:rPr>
      </w:pPr>
    </w:p>
    <w:p w14:paraId="59371643" w14:textId="77777777" w:rsidR="00143933" w:rsidRPr="00143933" w:rsidRDefault="00143933" w:rsidP="00143933">
      <w:pPr>
        <w:rPr>
          <w:sz w:val="24"/>
          <w:szCs w:val="24"/>
        </w:rPr>
      </w:pPr>
      <w:r w:rsidRPr="00143933">
        <w:rPr>
          <w:sz w:val="24"/>
          <w:szCs w:val="24"/>
        </w:rPr>
        <w:t>Gegevens verwerken in grafieken is geen standaard onderdeel van het rekenwiskunde curriculum voor de middenbouw. Toch is gebleken tijden</w:t>
      </w:r>
      <w:r w:rsidR="0055624A">
        <w:rPr>
          <w:sz w:val="24"/>
          <w:szCs w:val="24"/>
        </w:rPr>
        <w:t>s</w:t>
      </w:r>
      <w:r w:rsidRPr="00143933">
        <w:rPr>
          <w:sz w:val="24"/>
          <w:szCs w:val="24"/>
        </w:rPr>
        <w:t xml:space="preserve"> de grote rekendag 2005 dat</w:t>
      </w:r>
      <w:r>
        <w:rPr>
          <w:sz w:val="24"/>
          <w:szCs w:val="24"/>
        </w:rPr>
        <w:t xml:space="preserve"> middenbouw leerlingen, vooral</w:t>
      </w:r>
      <w:r w:rsidRPr="00143933">
        <w:rPr>
          <w:sz w:val="24"/>
          <w:szCs w:val="24"/>
        </w:rPr>
        <w:t xml:space="preserve"> uit de groepen 5 en 6, deze activiteit met plezier en succes uitvoeren. Het verzamelen van de gegevens ging goed, leerlingen konden de afstanden goed meten en noteren</w:t>
      </w:r>
      <w:r>
        <w:rPr>
          <w:sz w:val="24"/>
          <w:szCs w:val="24"/>
        </w:rPr>
        <w:t>.</w:t>
      </w:r>
      <w:r w:rsidRPr="00143933">
        <w:rPr>
          <w:sz w:val="24"/>
          <w:szCs w:val="24"/>
        </w:rPr>
        <w:t xml:space="preserve"> </w:t>
      </w:r>
    </w:p>
    <w:p w14:paraId="315DFC8E" w14:textId="77777777" w:rsidR="00143933" w:rsidRPr="00143933" w:rsidRDefault="00143933" w:rsidP="00143933">
      <w:pPr>
        <w:rPr>
          <w:sz w:val="24"/>
          <w:szCs w:val="24"/>
        </w:rPr>
      </w:pPr>
      <w:r w:rsidRPr="00143933">
        <w:rPr>
          <w:sz w:val="24"/>
          <w:szCs w:val="24"/>
        </w:rPr>
        <w:t xml:space="preserve">Leerlingen blijken vervolgens creatief in het bedenken van grafieken. De grootste problemen ontstaan bij het </w:t>
      </w:r>
      <w:r w:rsidR="0055624A" w:rsidRPr="00143933">
        <w:rPr>
          <w:sz w:val="24"/>
          <w:szCs w:val="24"/>
        </w:rPr>
        <w:t xml:space="preserve">ordenen </w:t>
      </w:r>
      <w:r w:rsidRPr="00143933">
        <w:rPr>
          <w:sz w:val="24"/>
          <w:szCs w:val="24"/>
        </w:rPr>
        <w:t>van de verzamelde gegevens: hoe deel je ze in, kun je zinvolle groepen maken etc. Dit zie je soms terug in onregelmatige indeling op assen of in groepen bij de grafieken. Het lijkt verstandig de doelen voor het maken van grafieken nog niet te hoog te stellen: het gaat niet om het kunnen maken van een grafiek die aan alle formele eisen wat betreft indeling van de assen etc. voldoet, maar het gaat om het op een heldere manier in beeld brengen van een verzameling gegevens. In de discussie over wat helder is komen vanzelf relevante zaken over de vorm, de klassenindeling, de indeling van de assen etc. op een praktische manier aan de orde en kan er een rijke en gevarieerde discussie ontstaan.</w:t>
      </w:r>
    </w:p>
    <w:p w14:paraId="7DAEA2DB" w14:textId="77777777" w:rsidR="00143933" w:rsidRDefault="00143933" w:rsidP="00143933">
      <w:pPr>
        <w:rPr>
          <w:sz w:val="24"/>
          <w:szCs w:val="24"/>
        </w:rPr>
      </w:pPr>
    </w:p>
    <w:p w14:paraId="2FAAB281" w14:textId="77777777" w:rsidR="004D12DD" w:rsidRDefault="004D12DD" w:rsidP="00143933">
      <w:pPr>
        <w:rPr>
          <w:sz w:val="24"/>
          <w:szCs w:val="24"/>
        </w:rPr>
      </w:pPr>
    </w:p>
    <w:p w14:paraId="428EDDF3" w14:textId="77777777" w:rsidR="004D12DD" w:rsidRDefault="004D12DD" w:rsidP="00143933">
      <w:pPr>
        <w:rPr>
          <w:sz w:val="24"/>
          <w:szCs w:val="24"/>
        </w:rPr>
      </w:pPr>
    </w:p>
    <w:p w14:paraId="7DE57A02" w14:textId="77777777" w:rsidR="004D12DD" w:rsidRPr="00143933" w:rsidRDefault="004D12DD" w:rsidP="00143933">
      <w:pPr>
        <w:rPr>
          <w:sz w:val="24"/>
          <w:szCs w:val="24"/>
        </w:rPr>
      </w:pPr>
    </w:p>
    <w:p w14:paraId="67868A8C" w14:textId="77777777" w:rsidR="00143933" w:rsidRPr="00143933" w:rsidRDefault="004A3CE0" w:rsidP="00143933">
      <w:pPr>
        <w:rPr>
          <w:i/>
          <w:sz w:val="24"/>
          <w:szCs w:val="24"/>
        </w:rPr>
      </w:pPr>
      <w:r>
        <w:rPr>
          <w:i/>
          <w:sz w:val="24"/>
          <w:szCs w:val="24"/>
        </w:rPr>
        <w:br w:type="page"/>
      </w:r>
      <w:r w:rsidR="00143933" w:rsidRPr="00143933">
        <w:rPr>
          <w:i/>
          <w:sz w:val="24"/>
          <w:szCs w:val="24"/>
        </w:rPr>
        <w:lastRenderedPageBreak/>
        <w:t>Tips voor gebruik in de klas</w:t>
      </w:r>
      <w:r w:rsidR="005C3601">
        <w:rPr>
          <w:i/>
          <w:sz w:val="24"/>
          <w:szCs w:val="24"/>
        </w:rPr>
        <w:t>:</w:t>
      </w:r>
    </w:p>
    <w:p w14:paraId="2F7E0563" w14:textId="77777777" w:rsidR="00143933" w:rsidRPr="00143933" w:rsidRDefault="00143933" w:rsidP="00143933">
      <w:pPr>
        <w:rPr>
          <w:sz w:val="24"/>
          <w:szCs w:val="24"/>
        </w:rPr>
      </w:pPr>
      <w:r w:rsidRPr="00143933">
        <w:rPr>
          <w:sz w:val="24"/>
          <w:szCs w:val="24"/>
        </w:rPr>
        <w:t xml:space="preserve">Het kan nuttig zijn ter introductie een klassikale activiteit te doen waarin voorbeelden van grafieken worden besproken. In het materiaal van de </w:t>
      </w:r>
      <w:r w:rsidRPr="00143933">
        <w:rPr>
          <w:b/>
          <w:sz w:val="24"/>
          <w:szCs w:val="24"/>
        </w:rPr>
        <w:t>Grote rekendag</w:t>
      </w:r>
      <w:r w:rsidRPr="00143933">
        <w:rPr>
          <w:sz w:val="24"/>
          <w:szCs w:val="24"/>
        </w:rPr>
        <w:t xml:space="preserve"> is daarvoor een grafiekenkrant opgenomen. Nadeel van een dergelijke introductie kan zijn dat de leerlingen grafieken gaan namaken. </w:t>
      </w:r>
    </w:p>
    <w:p w14:paraId="10A1695B" w14:textId="77777777" w:rsidR="00143933" w:rsidRDefault="00143933" w:rsidP="00143933">
      <w:pPr>
        <w:rPr>
          <w:sz w:val="24"/>
          <w:szCs w:val="24"/>
        </w:rPr>
      </w:pPr>
    </w:p>
    <w:p w14:paraId="1B5378FD" w14:textId="77777777" w:rsidR="00143933" w:rsidRPr="00143933" w:rsidRDefault="00143933" w:rsidP="00143933">
      <w:pPr>
        <w:rPr>
          <w:sz w:val="24"/>
          <w:szCs w:val="24"/>
        </w:rPr>
      </w:pPr>
      <w:r w:rsidRPr="00143933">
        <w:rPr>
          <w:sz w:val="24"/>
          <w:szCs w:val="24"/>
        </w:rPr>
        <w:t>Voor groep 4 is het meten van de afstand waarschijnlijk te moeilijk. Er is een alternatief bedacht waarbij de baan waaro</w:t>
      </w:r>
      <w:r w:rsidR="0055624A">
        <w:rPr>
          <w:sz w:val="24"/>
          <w:szCs w:val="24"/>
        </w:rPr>
        <w:t>ver het watje wordt geblazen be</w:t>
      </w:r>
      <w:r w:rsidRPr="00143933">
        <w:rPr>
          <w:sz w:val="24"/>
          <w:szCs w:val="24"/>
        </w:rPr>
        <w:t>staat uit aan elkaar geplakte vellen gekleurd papier. De kleur bepaalt de afstand en wordt genoteerd op het scoreformulier. In dit geval is het van belang om de volgorde van de kleuren ook op het scoreformulier te vermelden.</w:t>
      </w:r>
    </w:p>
    <w:p w14:paraId="6C554CD6" w14:textId="77777777" w:rsidR="00143933" w:rsidRPr="00143933" w:rsidRDefault="00143933" w:rsidP="00143933">
      <w:pPr>
        <w:rPr>
          <w:sz w:val="24"/>
          <w:szCs w:val="24"/>
        </w:rPr>
      </w:pPr>
      <w:r w:rsidRPr="00143933">
        <w:rPr>
          <w:sz w:val="24"/>
          <w:szCs w:val="24"/>
        </w:rPr>
        <w:t xml:space="preserve">Voor groep 5 kunnen, als hulp bij het meten, met tape op de tafels afstanden worden aangegeven, bijvoorbeeld elke 10, 25 of 50 cm kan een lijn worden geplakt en de afstand erbij worden geschreven. </w:t>
      </w:r>
    </w:p>
    <w:p w14:paraId="1F71A029" w14:textId="77777777" w:rsidR="00143933" w:rsidRPr="00143933" w:rsidRDefault="00143933" w:rsidP="00143933">
      <w:pPr>
        <w:rPr>
          <w:sz w:val="24"/>
          <w:szCs w:val="24"/>
        </w:rPr>
      </w:pPr>
      <w:r w:rsidRPr="00143933">
        <w:rPr>
          <w:sz w:val="24"/>
          <w:szCs w:val="24"/>
        </w:rPr>
        <w:t>Een uitgebreide handleiding voor een proefjescircuit met zes proefjes en de verwerking in grafieken gevolgd door een presentatie is te vinden op</w:t>
      </w:r>
      <w:r>
        <w:t xml:space="preserve"> </w:t>
      </w:r>
      <w:hyperlink r:id="rId9" w:history="1">
        <w:r w:rsidRPr="00143933">
          <w:rPr>
            <w:rStyle w:val="Hyperlink"/>
            <w:sz w:val="24"/>
            <w:szCs w:val="24"/>
          </w:rPr>
          <w:t>http://www.fi.uu.nl/rekenweb</w:t>
        </w:r>
        <w:r w:rsidR="009B79AA">
          <w:rPr>
            <w:rStyle w:val="Hyperlink"/>
            <w:sz w:val="24"/>
            <w:szCs w:val="24"/>
          </w:rPr>
          <w:t>/groterekendag/2005/middenbouw/</w:t>
        </w:r>
      </w:hyperlink>
      <w:r w:rsidRPr="00143933">
        <w:rPr>
          <w:sz w:val="24"/>
          <w:szCs w:val="24"/>
        </w:rPr>
        <w:t>.</w:t>
      </w:r>
    </w:p>
    <w:p w14:paraId="651A0674" w14:textId="77777777" w:rsidR="00143933" w:rsidRDefault="00143933" w:rsidP="00143933"/>
    <w:p w14:paraId="32768DDF" w14:textId="77777777" w:rsidR="00143933" w:rsidRPr="008D4AD9" w:rsidRDefault="00143933" w:rsidP="00143933">
      <w:pPr>
        <w:rPr>
          <w:lang w:eastAsia="nl-NL"/>
        </w:rPr>
      </w:pPr>
      <w:r>
        <w:t xml:space="preserve">. </w:t>
      </w:r>
    </w:p>
    <w:p w14:paraId="092D75E9" w14:textId="77777777" w:rsidR="00143933" w:rsidRDefault="00143933" w:rsidP="00F1680C">
      <w:pPr>
        <w:rPr>
          <w:rFonts w:ascii="Times" w:hAnsi="Times"/>
          <w:sz w:val="24"/>
        </w:rPr>
      </w:pPr>
    </w:p>
    <w:p w14:paraId="30113394" w14:textId="77777777" w:rsidR="00143933" w:rsidRDefault="00143933" w:rsidP="00F1680C">
      <w:pPr>
        <w:rPr>
          <w:rFonts w:ascii="Times" w:hAnsi="Times"/>
          <w:sz w:val="24"/>
        </w:rPr>
      </w:pPr>
    </w:p>
    <w:p w14:paraId="1EF476A1" w14:textId="77777777" w:rsidR="00143933" w:rsidRDefault="00143933" w:rsidP="00F1680C">
      <w:pPr>
        <w:rPr>
          <w:rFonts w:ascii="Times" w:hAnsi="Times"/>
          <w:sz w:val="24"/>
        </w:rPr>
      </w:pPr>
    </w:p>
    <w:sectPr w:rsidR="00143933" w:rsidSect="004A3CE0">
      <w:footerReference w:type="default" r:id="rId10"/>
      <w:footnotePr>
        <w:pos w:val="beneathText"/>
      </w:footnotePr>
      <w:type w:val="continuous"/>
      <w:pgSz w:w="11905" w:h="16837" w:code="9"/>
      <w:pgMar w:top="1418" w:right="1134" w:bottom="851"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0294" w14:textId="77777777" w:rsidR="004965F9" w:rsidRDefault="004965F9">
      <w:r>
        <w:separator/>
      </w:r>
    </w:p>
  </w:endnote>
  <w:endnote w:type="continuationSeparator" w:id="0">
    <w:p w14:paraId="7C333776" w14:textId="77777777" w:rsidR="004965F9" w:rsidRDefault="0049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0"/>
    <w:family w:val="auto"/>
    <w:pitch w:val="default"/>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F9B3B" w14:textId="77777777" w:rsidR="004D12DD" w:rsidRDefault="004A3CE0">
    <w:pPr>
      <w:pStyle w:val="Voettekst"/>
      <w:tabs>
        <w:tab w:val="clear" w:pos="8306"/>
        <w:tab w:val="right" w:pos="9072"/>
      </w:tabs>
    </w:pPr>
    <w:r>
      <w:t>Nationale Rekendagen 2006</w:t>
    </w:r>
    <w:r w:rsidR="004D12DD">
      <w:tab/>
    </w:r>
    <w:r>
      <w:t xml:space="preserve">                                                                                                                 </w:t>
    </w:r>
    <w:r w:rsidR="004D12DD">
      <w:t>Freudenthal Instituut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61AF5" w14:textId="77777777" w:rsidR="004965F9" w:rsidRDefault="004965F9">
      <w:r>
        <w:separator/>
      </w:r>
    </w:p>
  </w:footnote>
  <w:footnote w:type="continuationSeparator" w:id="0">
    <w:p w14:paraId="021CB026" w14:textId="77777777" w:rsidR="004965F9" w:rsidRDefault="004965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2">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36801633"/>
    <w:multiLevelType w:val="hybridMultilevel"/>
    <w:tmpl w:val="89E82E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292BBA"/>
    <w:multiLevelType w:val="hybridMultilevel"/>
    <w:tmpl w:val="685ABB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1119E6"/>
    <w:multiLevelType w:val="hybridMultilevel"/>
    <w:tmpl w:val="65329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FD13CC"/>
    <w:multiLevelType w:val="hybridMultilevel"/>
    <w:tmpl w:val="507AE7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0C"/>
    <w:rsid w:val="000B44AA"/>
    <w:rsid w:val="0010104E"/>
    <w:rsid w:val="00116351"/>
    <w:rsid w:val="00143933"/>
    <w:rsid w:val="002306A1"/>
    <w:rsid w:val="002F6639"/>
    <w:rsid w:val="004965F9"/>
    <w:rsid w:val="004A3CE0"/>
    <w:rsid w:val="004A46CB"/>
    <w:rsid w:val="004D12DD"/>
    <w:rsid w:val="004E38C4"/>
    <w:rsid w:val="0055624A"/>
    <w:rsid w:val="00571D92"/>
    <w:rsid w:val="005C3601"/>
    <w:rsid w:val="00604DF8"/>
    <w:rsid w:val="00615967"/>
    <w:rsid w:val="00663712"/>
    <w:rsid w:val="00716F6A"/>
    <w:rsid w:val="0076779B"/>
    <w:rsid w:val="009B79AA"/>
    <w:rsid w:val="00B62095"/>
    <w:rsid w:val="00BA6B48"/>
    <w:rsid w:val="00C1529C"/>
    <w:rsid w:val="00C351D7"/>
    <w:rsid w:val="00C55C0F"/>
    <w:rsid w:val="00D32044"/>
    <w:rsid w:val="00D33DB2"/>
    <w:rsid w:val="00E84A29"/>
    <w:rsid w:val="00F1680C"/>
    <w:rsid w:val="00F97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C54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680C"/>
    <w:pPr>
      <w:suppressAutoHyphens/>
    </w:pPr>
    <w:rPr>
      <w:rFonts w:eastAsia="Times New Roman"/>
      <w:lang w:eastAsia="ar-SA"/>
    </w:rPr>
  </w:style>
  <w:style w:type="paragraph" w:styleId="Kop2">
    <w:name w:val="heading 2"/>
    <w:basedOn w:val="Standaard"/>
    <w:next w:val="Standaard"/>
    <w:qFormat/>
    <w:rsid w:val="00F1680C"/>
    <w:pPr>
      <w:keepNext/>
      <w:numPr>
        <w:ilvl w:val="1"/>
        <w:numId w:val="3"/>
      </w:numPr>
      <w:outlineLvl w:val="1"/>
    </w:pPr>
    <w:rPr>
      <w:b/>
      <w:bCs/>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F1680C"/>
    <w:rPr>
      <w:color w:val="0000FF"/>
      <w:u w:val="single"/>
    </w:rPr>
  </w:style>
  <w:style w:type="paragraph" w:styleId="Voettekst">
    <w:name w:val="footer"/>
    <w:basedOn w:val="Standaard"/>
    <w:rsid w:val="00F1680C"/>
    <w:pPr>
      <w:tabs>
        <w:tab w:val="center" w:pos="4153"/>
        <w:tab w:val="right" w:pos="8306"/>
      </w:tabs>
    </w:pPr>
  </w:style>
  <w:style w:type="paragraph" w:customStyle="1" w:styleId="WW-Inhoudtabel111">
    <w:name w:val="WW-Inhoud tabel111"/>
    <w:basedOn w:val="Plattetekst"/>
    <w:rsid w:val="00F1680C"/>
    <w:pPr>
      <w:suppressLineNumbers/>
      <w:spacing w:after="0"/>
    </w:pPr>
    <w:rPr>
      <w:sz w:val="28"/>
    </w:rPr>
  </w:style>
  <w:style w:type="paragraph" w:customStyle="1" w:styleId="WW-Tabelkop111">
    <w:name w:val="WW-Tabelkop111"/>
    <w:basedOn w:val="WW-Inhoudtabel111"/>
    <w:rsid w:val="00F1680C"/>
    <w:pPr>
      <w:jc w:val="center"/>
    </w:pPr>
    <w:rPr>
      <w:b/>
      <w:bCs/>
      <w:i/>
      <w:iCs/>
    </w:rPr>
  </w:style>
  <w:style w:type="paragraph" w:styleId="Plattetekst">
    <w:name w:val="Body Text"/>
    <w:basedOn w:val="Standaard"/>
    <w:rsid w:val="00F1680C"/>
    <w:pPr>
      <w:spacing w:after="120"/>
    </w:pPr>
  </w:style>
  <w:style w:type="character" w:styleId="GevolgdeHyperlink">
    <w:name w:val="FollowedHyperlink"/>
    <w:basedOn w:val="Standaardalinea-lettertype"/>
    <w:rsid w:val="00F1680C"/>
    <w:rPr>
      <w:color w:val="800080"/>
      <w:u w:val="single"/>
    </w:rPr>
  </w:style>
  <w:style w:type="character" w:styleId="Verwijzingopmerking">
    <w:name w:val="annotation reference"/>
    <w:basedOn w:val="Standaardalinea-lettertype"/>
    <w:semiHidden/>
    <w:rsid w:val="00D32044"/>
    <w:rPr>
      <w:sz w:val="16"/>
      <w:szCs w:val="16"/>
    </w:rPr>
  </w:style>
  <w:style w:type="paragraph" w:styleId="Tekstopmerking">
    <w:name w:val="annotation text"/>
    <w:basedOn w:val="Standaard"/>
    <w:semiHidden/>
    <w:rsid w:val="00D32044"/>
  </w:style>
  <w:style w:type="paragraph" w:styleId="Onderwerpvanopmerking">
    <w:name w:val="annotation subject"/>
    <w:basedOn w:val="Tekstopmerking"/>
    <w:next w:val="Tekstopmerking"/>
    <w:semiHidden/>
    <w:rsid w:val="00D32044"/>
    <w:rPr>
      <w:b/>
      <w:bCs/>
    </w:rPr>
  </w:style>
  <w:style w:type="paragraph" w:styleId="Ballontekst">
    <w:name w:val="Balloon Text"/>
    <w:basedOn w:val="Standaard"/>
    <w:semiHidden/>
    <w:rsid w:val="00D32044"/>
    <w:rPr>
      <w:rFonts w:ascii="Tahoma" w:hAnsi="Tahoma" w:cs="Tahoma"/>
      <w:sz w:val="16"/>
      <w:szCs w:val="16"/>
    </w:rPr>
  </w:style>
  <w:style w:type="paragraph" w:styleId="Koptekst">
    <w:name w:val="header"/>
    <w:basedOn w:val="Standaard"/>
    <w:rsid w:val="004A3CE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fi.uu.nl/rekenweb/groterekendag/2005/middenbouw/welcome.html" TargetMode="External"/><Relationship Id="rId9" Type="http://schemas.openxmlformats.org/officeDocument/2006/relationships/hyperlink" Target="http://www.fi.uu.nl/rekenweb/groterekendag/2005/middenbouw/welcome.html" TargetMode="External"/><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2814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Reflectie :  #</vt:lpstr>
    </vt:vector>
  </TitlesOfParts>
  <Company>Freudenthal Instituut, Universiteit Utrecht</Company>
  <LinksUpToDate>false</LinksUpToDate>
  <CharactersWithSpaces>3319</CharactersWithSpaces>
  <SharedDoc>false</SharedDoc>
  <HLinks>
    <vt:vector size="12" baseType="variant">
      <vt:variant>
        <vt:i4>7209068</vt:i4>
      </vt:variant>
      <vt:variant>
        <vt:i4>3</vt:i4>
      </vt:variant>
      <vt:variant>
        <vt:i4>0</vt:i4>
      </vt:variant>
      <vt:variant>
        <vt:i4>5</vt:i4>
      </vt:variant>
      <vt:variant>
        <vt:lpwstr>http://www.fi.uu.nl/rekenweb/groterekendag/2005/middenbouw/welcome.html</vt:lpwstr>
      </vt:variant>
      <vt:variant>
        <vt:lpwstr/>
      </vt:variant>
      <vt:variant>
        <vt:i4>7209068</vt:i4>
      </vt:variant>
      <vt:variant>
        <vt:i4>0</vt:i4>
      </vt:variant>
      <vt:variant>
        <vt:i4>0</vt:i4>
      </vt:variant>
      <vt:variant>
        <vt:i4>5</vt:i4>
      </vt:variant>
      <vt:variant>
        <vt:lpwstr>http://www.fi.uu.nl/rekenweb/groterekendag/2005/middenbouw/welcome.html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Reflectie :  #</dc:title>
  <dc:subject/>
  <dc:creator>truus</dc:creator>
  <cp:keywords/>
  <dc:description/>
  <cp:lastModifiedBy>Jonker, V.H. (Vincent)</cp:lastModifiedBy>
  <cp:revision>2</cp:revision>
  <dcterms:created xsi:type="dcterms:W3CDTF">2016-08-18T14:06:00Z</dcterms:created>
  <dcterms:modified xsi:type="dcterms:W3CDTF">2016-08-18T14:06:00Z</dcterms:modified>
</cp:coreProperties>
</file>