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F45" w14:textId="77777777" w:rsidR="00F01FEC" w:rsidRDefault="00F01FEC" w:rsidP="6E63F9C7">
      <w:pPr>
        <w:pStyle w:val="Titel"/>
        <w:rPr>
          <w:rFonts w:ascii="Arial" w:eastAsia="Arial" w:hAnsi="Arial" w:cs="Arial"/>
          <w:sz w:val="22"/>
          <w:szCs w:val="22"/>
        </w:rPr>
      </w:pPr>
    </w:p>
    <w:p w14:paraId="25027916" w14:textId="50C39253" w:rsidR="7E81F858" w:rsidRPr="00F01FEC" w:rsidRDefault="597E89EC" w:rsidP="00F01FEC">
      <w:pPr>
        <w:pStyle w:val="Titel"/>
      </w:pPr>
      <w:r w:rsidRPr="00F01FEC">
        <w:t>FAIR-principes voor leermaterialen</w:t>
      </w:r>
    </w:p>
    <w:p w14:paraId="3B10FA96" w14:textId="0E993E69" w:rsidR="3BF22A21" w:rsidRDefault="51544603" w:rsidP="6E63F9C7">
      <w:pPr>
        <w:pStyle w:val="Ondertitel"/>
        <w:rPr>
          <w:rFonts w:ascii="Arial" w:eastAsia="Arial" w:hAnsi="Arial" w:cs="Arial"/>
          <w:sz w:val="22"/>
          <w:szCs w:val="22"/>
        </w:rPr>
      </w:pPr>
      <w:r w:rsidRPr="6E63F9C7">
        <w:rPr>
          <w:rFonts w:ascii="Arial" w:eastAsia="Arial" w:hAnsi="Arial" w:cs="Arial"/>
          <w:sz w:val="22"/>
          <w:szCs w:val="22"/>
        </w:rPr>
        <w:t>Versie november 2025</w:t>
      </w:r>
    </w:p>
    <w:p w14:paraId="3A28AF76" w14:textId="175CF947" w:rsidR="7E81F858" w:rsidRPr="00F01FEC" w:rsidRDefault="597E89EC" w:rsidP="00F01FEC">
      <w:pPr>
        <w:pStyle w:val="Kop1"/>
      </w:pPr>
      <w:r w:rsidRPr="00F01FEC">
        <w:t>Inleiding</w:t>
      </w:r>
    </w:p>
    <w:p w14:paraId="70B6639F" w14:textId="551004AC" w:rsidR="4D8ED481" w:rsidRDefault="597E89EC" w:rsidP="6E63F9C7">
      <w:pPr>
        <w:rPr>
          <w:rFonts w:ascii="Arial" w:eastAsia="Arial" w:hAnsi="Arial" w:cs="Arial"/>
          <w:sz w:val="22"/>
          <w:szCs w:val="22"/>
        </w:rPr>
      </w:pPr>
      <w:r w:rsidRPr="6E63F9C7">
        <w:rPr>
          <w:rFonts w:ascii="Arial" w:eastAsia="Arial" w:hAnsi="Arial" w:cs="Arial"/>
          <w:sz w:val="22"/>
          <w:szCs w:val="22"/>
        </w:rPr>
        <w:t>Als docent wil je leermaterialen kunnen gebruiken op een manier die past bij je onderwijsdoelen</w:t>
      </w:r>
      <w:r w:rsidR="4DB15109" w:rsidRPr="6E63F9C7">
        <w:rPr>
          <w:rFonts w:ascii="Arial" w:eastAsia="Arial" w:hAnsi="Arial" w:cs="Arial"/>
          <w:sz w:val="22"/>
          <w:szCs w:val="22"/>
        </w:rPr>
        <w:t>, context</w:t>
      </w:r>
      <w:r w:rsidRPr="6E63F9C7">
        <w:rPr>
          <w:rFonts w:ascii="Arial" w:eastAsia="Arial" w:hAnsi="Arial" w:cs="Arial"/>
          <w:sz w:val="22"/>
          <w:szCs w:val="22"/>
        </w:rPr>
        <w:t xml:space="preserve"> en didactische keuzes. Dat kan vaak niet, kost veel tijd of het is niet transparant wat je met het materiaal mag of kunt. </w:t>
      </w:r>
      <w:r w:rsidR="1BA33F7B" w:rsidRPr="6E63F9C7">
        <w:rPr>
          <w:rFonts w:ascii="Arial" w:eastAsia="Arial" w:hAnsi="Arial" w:cs="Arial"/>
          <w:sz w:val="22"/>
          <w:szCs w:val="22"/>
        </w:rPr>
        <w:t>Door het ontbreken van eenduidige afspraken, is er veel versnippering in de plekken waar je leermaterialen kunt vinden, veel diversiteit in kwaliteit en volledigheid en zijn er afhankelijkheden van hoe (commerciële) uitgevers he</w:t>
      </w:r>
      <w:r w:rsidR="09A9ED3D" w:rsidRPr="6E63F9C7">
        <w:rPr>
          <w:rFonts w:ascii="Arial" w:eastAsia="Arial" w:hAnsi="Arial" w:cs="Arial"/>
          <w:sz w:val="22"/>
          <w:szCs w:val="22"/>
        </w:rPr>
        <w:t>t materiaal aanbieden.</w:t>
      </w:r>
    </w:p>
    <w:p w14:paraId="60ED9D3C" w14:textId="6769AA5B" w:rsidR="65D3BC5F" w:rsidRDefault="09A9ED3D" w:rsidP="6E63F9C7">
      <w:pPr>
        <w:rPr>
          <w:rFonts w:ascii="Arial" w:eastAsia="Arial" w:hAnsi="Arial" w:cs="Arial"/>
          <w:sz w:val="22"/>
          <w:szCs w:val="22"/>
        </w:rPr>
      </w:pPr>
      <w:r w:rsidRPr="6E63F9C7">
        <w:rPr>
          <w:rFonts w:ascii="Arial" w:eastAsia="Arial" w:hAnsi="Arial" w:cs="Arial"/>
          <w:sz w:val="22"/>
          <w:szCs w:val="22"/>
        </w:rPr>
        <w:t>Om beter in beeld te brengen aan welke eisen het materiaal voldoet, om een hulpmiddel te bieden bij het maken van leermateriaal en om te zorgen voor meer flexibiliteit, is er een landelijke set principes opgesteld voor leermaterialen, afgeleid van de internationale FAIR-principes voor data en onderzoek.</w:t>
      </w:r>
    </w:p>
    <w:p w14:paraId="1B7503A9" w14:textId="12A624CD" w:rsidR="65D3BC5F" w:rsidRDefault="7120B60A" w:rsidP="6E63F9C7">
      <w:pPr>
        <w:rPr>
          <w:rFonts w:ascii="Arial" w:eastAsia="Arial" w:hAnsi="Arial" w:cs="Arial"/>
          <w:sz w:val="22"/>
          <w:szCs w:val="22"/>
        </w:rPr>
      </w:pPr>
      <w:r w:rsidRPr="6E63F9C7">
        <w:rPr>
          <w:rFonts w:ascii="Arial" w:eastAsia="Arial" w:hAnsi="Arial" w:cs="Arial"/>
          <w:sz w:val="22"/>
          <w:szCs w:val="22"/>
        </w:rPr>
        <w:t>Deze set is in concept beschikbaar en kan worden gebruikt bij het delen, gebruiken en maken van leermateriaal. Maar ook bij het inkopen ervan</w:t>
      </w:r>
      <w:r w:rsidR="1B3F1A8B" w:rsidRPr="6E63F9C7">
        <w:rPr>
          <w:rFonts w:ascii="Arial" w:eastAsia="Arial" w:hAnsi="Arial" w:cs="Arial"/>
          <w:sz w:val="22"/>
          <w:szCs w:val="22"/>
        </w:rPr>
        <w:t>, ontwik</w:t>
      </w:r>
      <w:r w:rsidR="057AB5D0" w:rsidRPr="6E63F9C7">
        <w:rPr>
          <w:rFonts w:ascii="Arial" w:eastAsia="Arial" w:hAnsi="Arial" w:cs="Arial"/>
          <w:sz w:val="22"/>
          <w:szCs w:val="22"/>
        </w:rPr>
        <w:t>k</w:t>
      </w:r>
      <w:r w:rsidR="1B3F1A8B" w:rsidRPr="6E63F9C7">
        <w:rPr>
          <w:rFonts w:ascii="Arial" w:eastAsia="Arial" w:hAnsi="Arial" w:cs="Arial"/>
          <w:sz w:val="22"/>
          <w:szCs w:val="22"/>
        </w:rPr>
        <w:t>elen van beleid</w:t>
      </w:r>
      <w:r w:rsidRPr="6E63F9C7">
        <w:rPr>
          <w:rFonts w:ascii="Arial" w:eastAsia="Arial" w:hAnsi="Arial" w:cs="Arial"/>
          <w:sz w:val="22"/>
          <w:szCs w:val="22"/>
        </w:rPr>
        <w:t xml:space="preserve"> of bij landelijke afspraken met aanbieders van leermiddelen.</w:t>
      </w:r>
      <w:r w:rsidR="512D6F32" w:rsidRPr="6E63F9C7">
        <w:rPr>
          <w:rFonts w:ascii="Arial" w:eastAsia="Arial" w:hAnsi="Arial" w:cs="Arial"/>
          <w:sz w:val="22"/>
          <w:szCs w:val="22"/>
        </w:rPr>
        <w:t xml:space="preserve"> De FAIR-principes voor leermateriaal worden in 2026 doorontwikkeld, beproefd en geïmplementeerd. Bovendien ontwikkelen we hulpmiddelen om er zelf mee aan de slag te gaan, zoals instrumenten per principe.</w:t>
      </w:r>
    </w:p>
    <w:p w14:paraId="0AF07F9F" w14:textId="3F2C063F" w:rsidR="00254BA7" w:rsidRPr="00F01FEC" w:rsidRDefault="512D6F32" w:rsidP="00F01FEC">
      <w:pPr>
        <w:pStyle w:val="Kop1"/>
      </w:pPr>
      <w:r w:rsidRPr="00F01FEC">
        <w:t>FAIR-principes voor leermateriaal</w:t>
      </w:r>
    </w:p>
    <w:p w14:paraId="091286A3" w14:textId="77401399" w:rsidR="4D8ED481" w:rsidRPr="00F01FEC" w:rsidRDefault="597E89EC" w:rsidP="00F01FEC">
      <w:pPr>
        <w:pStyle w:val="Kop2"/>
      </w:pPr>
      <w:proofErr w:type="spellStart"/>
      <w:r w:rsidRPr="00F01FEC">
        <w:t>Findable</w:t>
      </w:r>
      <w:proofErr w:type="spellEnd"/>
      <w:r w:rsidRPr="00F01FEC">
        <w:t xml:space="preserve"> (Vindbaar)</w:t>
      </w:r>
    </w:p>
    <w:p w14:paraId="158BE280" w14:textId="291AA582" w:rsidR="7E81F858" w:rsidRPr="004E3D54" w:rsidRDefault="597E89EC" w:rsidP="004E3D54">
      <w:pPr>
        <w:pStyle w:val="Lijstalinea"/>
        <w:numPr>
          <w:ilvl w:val="0"/>
          <w:numId w:val="1"/>
        </w:numPr>
        <w:rPr>
          <w:rFonts w:ascii="Arial" w:eastAsia="Arial" w:hAnsi="Arial" w:cs="Arial"/>
          <w:sz w:val="22"/>
          <w:szCs w:val="22"/>
        </w:rPr>
      </w:pPr>
      <w:r w:rsidRPr="6E63F9C7">
        <w:rPr>
          <w:rFonts w:ascii="Arial" w:eastAsia="Arial" w:hAnsi="Arial" w:cs="Arial"/>
          <w:sz w:val="22"/>
          <w:szCs w:val="22"/>
        </w:rPr>
        <w:t xml:space="preserve">Rijke beschrijvende gegevens in de vorm van </w:t>
      </w:r>
      <w:r w:rsidRPr="004E3D54">
        <w:rPr>
          <w:rFonts w:ascii="Arial" w:eastAsia="Arial" w:hAnsi="Arial" w:cs="Arial"/>
          <w:b/>
          <w:bCs/>
          <w:sz w:val="22"/>
          <w:szCs w:val="22"/>
        </w:rPr>
        <w:t>open metadata</w:t>
      </w:r>
      <w:r w:rsidRPr="6E63F9C7">
        <w:rPr>
          <w:rFonts w:ascii="Arial" w:eastAsia="Arial" w:hAnsi="Arial" w:cs="Arial"/>
          <w:sz w:val="22"/>
          <w:szCs w:val="22"/>
        </w:rPr>
        <w:t xml:space="preserve"> – Leermateriaal bevat uitgebreide en machineleesbare metadata, gebaseerd op NL-LOM (aangevuld met vakvocabulaires), met informatie zoals titel, omschrijving, licentie, vakgebied en leerniveau.   </w:t>
      </w:r>
    </w:p>
    <w:p w14:paraId="5A639196" w14:textId="554E3E2B" w:rsidR="7E81F858" w:rsidRPr="004E3D54" w:rsidRDefault="597E89EC" w:rsidP="004E3D54">
      <w:pPr>
        <w:pStyle w:val="Lijstalinea"/>
        <w:numPr>
          <w:ilvl w:val="0"/>
          <w:numId w:val="1"/>
        </w:numPr>
        <w:rPr>
          <w:rFonts w:ascii="Arial" w:eastAsia="Arial" w:hAnsi="Arial" w:cs="Arial"/>
          <w:sz w:val="22"/>
          <w:szCs w:val="22"/>
        </w:rPr>
      </w:pPr>
      <w:r w:rsidRPr="6E63F9C7">
        <w:rPr>
          <w:rFonts w:ascii="Arial" w:eastAsia="Arial" w:hAnsi="Arial" w:cs="Arial"/>
          <w:sz w:val="22"/>
          <w:szCs w:val="22"/>
        </w:rPr>
        <w:t xml:space="preserve">Elk digitaal leermateriaal heeft een </w:t>
      </w:r>
      <w:r w:rsidRPr="004E3D54">
        <w:rPr>
          <w:rFonts w:ascii="Arial" w:eastAsia="Arial" w:hAnsi="Arial" w:cs="Arial"/>
          <w:b/>
          <w:bCs/>
          <w:sz w:val="22"/>
          <w:szCs w:val="22"/>
        </w:rPr>
        <w:t>unieke en persistente identificator</w:t>
      </w:r>
      <w:r w:rsidRPr="6E63F9C7">
        <w:rPr>
          <w:rFonts w:ascii="Arial" w:eastAsia="Arial" w:hAnsi="Arial" w:cs="Arial"/>
          <w:sz w:val="22"/>
          <w:szCs w:val="22"/>
        </w:rPr>
        <w:t xml:space="preserve"> (zoals een DOI, URN, ISBN of stabiele URL), zodat het duurzaam vindbaar is en anderen er op een betrouwbare manier naar kunnen verwijzen.  </w:t>
      </w:r>
    </w:p>
    <w:p w14:paraId="6D52B4FE" w14:textId="2C6AAF25" w:rsidR="7E81F858" w:rsidRDefault="597E89EC" w:rsidP="6E63F9C7">
      <w:pPr>
        <w:pStyle w:val="Lijstalinea"/>
        <w:numPr>
          <w:ilvl w:val="0"/>
          <w:numId w:val="1"/>
        </w:numPr>
        <w:rPr>
          <w:rFonts w:ascii="Arial" w:eastAsia="Arial" w:hAnsi="Arial" w:cs="Arial"/>
          <w:sz w:val="22"/>
          <w:szCs w:val="22"/>
        </w:rPr>
      </w:pPr>
      <w:r w:rsidRPr="6E63F9C7">
        <w:rPr>
          <w:rFonts w:ascii="Arial" w:eastAsia="Arial" w:hAnsi="Arial" w:cs="Arial"/>
          <w:sz w:val="22"/>
          <w:szCs w:val="22"/>
        </w:rPr>
        <w:t xml:space="preserve">Leermateriaal, inclusief metadata, is opgeslagen in </w:t>
      </w:r>
      <w:r w:rsidRPr="004E3D54">
        <w:rPr>
          <w:rFonts w:ascii="Arial" w:eastAsia="Arial" w:hAnsi="Arial" w:cs="Arial"/>
          <w:b/>
          <w:bCs/>
          <w:sz w:val="22"/>
          <w:szCs w:val="22"/>
        </w:rPr>
        <w:t>betrouwbare repositories</w:t>
      </w:r>
      <w:r w:rsidRPr="6E63F9C7">
        <w:rPr>
          <w:rFonts w:ascii="Arial" w:eastAsia="Arial" w:hAnsi="Arial" w:cs="Arial"/>
          <w:sz w:val="22"/>
          <w:szCs w:val="22"/>
        </w:rPr>
        <w:t xml:space="preserve"> (zoals SURF Sharekit of edurep) die gebruik maken van open standaarden en FAIR-principes ondersteunen. Het materiaal is vindbaar via educatieve portalen zoals edusources en ook toegankelijk via gangbare zoekmachines, zodat het breed beschikbaar is in doorzoekbare verzamelingen.</w:t>
      </w:r>
    </w:p>
    <w:p w14:paraId="35B62EDC" w14:textId="79C04405" w:rsidR="1BC8565B" w:rsidRDefault="1BC8565B" w:rsidP="6E63F9C7">
      <w:pPr>
        <w:rPr>
          <w:rFonts w:ascii="Arial" w:eastAsia="Arial" w:hAnsi="Arial" w:cs="Arial"/>
          <w:sz w:val="22"/>
          <w:szCs w:val="22"/>
        </w:rPr>
      </w:pPr>
    </w:p>
    <w:p w14:paraId="5C961CE8" w14:textId="58B73EC2" w:rsidR="04535688" w:rsidRPr="00F01FEC" w:rsidRDefault="0F645760" w:rsidP="00F01FEC">
      <w:pPr>
        <w:pStyle w:val="Kop2"/>
      </w:pPr>
      <w:proofErr w:type="spellStart"/>
      <w:r w:rsidRPr="00F01FEC">
        <w:lastRenderedPageBreak/>
        <w:t>Accessible</w:t>
      </w:r>
      <w:proofErr w:type="spellEnd"/>
      <w:r w:rsidRPr="00F01FEC">
        <w:t xml:space="preserve"> (Toegankelijk)</w:t>
      </w:r>
    </w:p>
    <w:p w14:paraId="69BAEE20" w14:textId="48602C08" w:rsidR="1BC8565B" w:rsidRPr="004E3D54" w:rsidRDefault="0F645760" w:rsidP="004E3D54">
      <w:pPr>
        <w:pStyle w:val="Lijstalinea"/>
        <w:numPr>
          <w:ilvl w:val="0"/>
          <w:numId w:val="1"/>
        </w:numPr>
        <w:rPr>
          <w:rFonts w:ascii="Arial" w:eastAsia="Arial" w:hAnsi="Arial" w:cs="Arial"/>
          <w:sz w:val="22"/>
          <w:szCs w:val="22"/>
        </w:rPr>
      </w:pPr>
      <w:r w:rsidRPr="004E3D54">
        <w:rPr>
          <w:rFonts w:ascii="Arial" w:eastAsia="Arial" w:hAnsi="Arial" w:cs="Arial"/>
          <w:b/>
          <w:bCs/>
          <w:sz w:val="22"/>
          <w:szCs w:val="22"/>
        </w:rPr>
        <w:t>Toegankelijkheid voor diverse doelgroepen</w:t>
      </w:r>
      <w:r w:rsidRPr="6E63F9C7">
        <w:rPr>
          <w:rFonts w:ascii="Arial" w:eastAsia="Arial" w:hAnsi="Arial" w:cs="Arial"/>
          <w:sz w:val="22"/>
          <w:szCs w:val="22"/>
        </w:rPr>
        <w:t xml:space="preserve">: het leermateriaal is toegankelijk voor mensen met een beperking door te voldoen aan de WCAG-richtlijnen. </w:t>
      </w:r>
    </w:p>
    <w:p w14:paraId="15551384" w14:textId="07464875" w:rsidR="1BC8565B" w:rsidRPr="004E3D54" w:rsidRDefault="0F645760" w:rsidP="004E3D54">
      <w:pPr>
        <w:pStyle w:val="Lijstalinea"/>
        <w:numPr>
          <w:ilvl w:val="0"/>
          <w:numId w:val="1"/>
        </w:numPr>
        <w:rPr>
          <w:rFonts w:ascii="Arial" w:eastAsia="Arial" w:hAnsi="Arial" w:cs="Arial"/>
          <w:sz w:val="22"/>
          <w:szCs w:val="22"/>
        </w:rPr>
      </w:pPr>
      <w:r w:rsidRPr="004E3D54">
        <w:rPr>
          <w:rFonts w:ascii="Arial" w:eastAsia="Arial" w:hAnsi="Arial" w:cs="Arial"/>
          <w:b/>
          <w:bCs/>
          <w:sz w:val="22"/>
          <w:szCs w:val="22"/>
        </w:rPr>
        <w:t>Gebruiksrecht en toegangsvoorwaarden zijn duidelijk</w:t>
      </w:r>
      <w:r w:rsidRPr="6E63F9C7">
        <w:rPr>
          <w:rFonts w:ascii="Arial" w:eastAsia="Arial" w:hAnsi="Arial" w:cs="Arial"/>
          <w:sz w:val="22"/>
          <w:szCs w:val="22"/>
        </w:rPr>
        <w:t xml:space="preserve"> – het leermateriaal is toegankelijk onder een licentie die toegang verleent zonder restricties zoals expliciete toestemming of afdracht van rechten. Indien materiaal niet volledig open is, wordt expliciet vermeld onder welke voorwaarden toegang mogelijk is.  </w:t>
      </w:r>
    </w:p>
    <w:p w14:paraId="0E785241" w14:textId="00A3396F" w:rsidR="04535688" w:rsidRDefault="0F645760" w:rsidP="6E63F9C7">
      <w:pPr>
        <w:pStyle w:val="Lijstalinea"/>
        <w:numPr>
          <w:ilvl w:val="0"/>
          <w:numId w:val="1"/>
        </w:numPr>
        <w:rPr>
          <w:rFonts w:ascii="Arial" w:eastAsia="Arial" w:hAnsi="Arial" w:cs="Arial"/>
          <w:sz w:val="22"/>
          <w:szCs w:val="22"/>
        </w:rPr>
      </w:pPr>
      <w:r w:rsidRPr="004E3D54">
        <w:rPr>
          <w:rFonts w:ascii="Arial" w:eastAsia="Arial" w:hAnsi="Arial" w:cs="Arial"/>
          <w:b/>
          <w:bCs/>
          <w:sz w:val="22"/>
          <w:szCs w:val="22"/>
        </w:rPr>
        <w:t>Duurzame beschikbaarheid</w:t>
      </w:r>
      <w:r w:rsidR="004E3D54">
        <w:rPr>
          <w:rFonts w:ascii="Arial" w:eastAsia="Arial" w:hAnsi="Arial" w:cs="Arial"/>
          <w:sz w:val="22"/>
          <w:szCs w:val="22"/>
        </w:rPr>
        <w:t xml:space="preserve">: </w:t>
      </w:r>
      <w:r w:rsidRPr="6E63F9C7">
        <w:rPr>
          <w:rFonts w:ascii="Arial" w:eastAsia="Arial" w:hAnsi="Arial" w:cs="Arial"/>
          <w:sz w:val="22"/>
          <w:szCs w:val="22"/>
        </w:rPr>
        <w:t xml:space="preserve">er is vermeld hoe het leermateriaal duurzaam beheerd en onderhouden of verwijderd wordt.  </w:t>
      </w:r>
    </w:p>
    <w:p w14:paraId="41A6BB8D" w14:textId="67E0A324" w:rsidR="1BC8565B" w:rsidRDefault="1BC8565B" w:rsidP="6E63F9C7">
      <w:pPr>
        <w:rPr>
          <w:rFonts w:ascii="Arial" w:eastAsia="Arial" w:hAnsi="Arial" w:cs="Arial"/>
          <w:sz w:val="22"/>
          <w:szCs w:val="22"/>
        </w:rPr>
      </w:pPr>
    </w:p>
    <w:p w14:paraId="7E9CB8AD" w14:textId="28C4572C" w:rsidR="04535688" w:rsidRPr="00F01FEC" w:rsidRDefault="0F645760" w:rsidP="00F01FEC">
      <w:pPr>
        <w:pStyle w:val="Kop2"/>
      </w:pPr>
      <w:proofErr w:type="spellStart"/>
      <w:r w:rsidRPr="00F01FEC">
        <w:t>Interoperable</w:t>
      </w:r>
      <w:proofErr w:type="spellEnd"/>
      <w:r w:rsidRPr="00F01FEC">
        <w:t xml:space="preserve"> (</w:t>
      </w:r>
      <w:proofErr w:type="spellStart"/>
      <w:r w:rsidRPr="00F01FEC">
        <w:t>Interoperabel</w:t>
      </w:r>
      <w:proofErr w:type="spellEnd"/>
      <w:r w:rsidRPr="00F01FEC">
        <w:t xml:space="preserve"> / uitwisselbaar)</w:t>
      </w:r>
    </w:p>
    <w:p w14:paraId="7C60B2EA" w14:textId="34E00054" w:rsidR="1BC8565B" w:rsidRPr="004E3D54" w:rsidRDefault="0F645760" w:rsidP="004E3D54">
      <w:pPr>
        <w:pStyle w:val="Lijstalinea"/>
        <w:numPr>
          <w:ilvl w:val="0"/>
          <w:numId w:val="1"/>
        </w:numPr>
        <w:rPr>
          <w:rFonts w:ascii="Arial" w:eastAsia="Arial" w:hAnsi="Arial" w:cs="Arial"/>
          <w:sz w:val="22"/>
          <w:szCs w:val="22"/>
        </w:rPr>
      </w:pPr>
      <w:r w:rsidRPr="6E63F9C7">
        <w:rPr>
          <w:rFonts w:ascii="Arial" w:eastAsia="Arial" w:hAnsi="Arial" w:cs="Arial"/>
          <w:sz w:val="22"/>
          <w:szCs w:val="22"/>
        </w:rPr>
        <w:t xml:space="preserve">Duurzame toegang via </w:t>
      </w:r>
      <w:r w:rsidRPr="004E3D54">
        <w:rPr>
          <w:rFonts w:ascii="Arial" w:eastAsia="Arial" w:hAnsi="Arial" w:cs="Arial"/>
          <w:b/>
          <w:bCs/>
          <w:sz w:val="22"/>
          <w:szCs w:val="22"/>
        </w:rPr>
        <w:t>open en algemeen geaccepteerde protocollen</w:t>
      </w:r>
      <w:r w:rsidRPr="6E63F9C7">
        <w:rPr>
          <w:rFonts w:ascii="Arial" w:eastAsia="Arial" w:hAnsi="Arial" w:cs="Arial"/>
          <w:sz w:val="22"/>
          <w:szCs w:val="22"/>
        </w:rPr>
        <w:t xml:space="preserve"> zoals OAI-PMH, HTTPS en andere standaarden, zodat het leermateriaal breed toegankelijk is en interoperabel met andere systemen.   </w:t>
      </w:r>
    </w:p>
    <w:p w14:paraId="3142D3CD" w14:textId="11E4CC24" w:rsidR="1BC8565B" w:rsidRPr="004E3D54" w:rsidRDefault="0F645760" w:rsidP="004E3D54">
      <w:pPr>
        <w:pStyle w:val="Lijstalinea"/>
        <w:numPr>
          <w:ilvl w:val="0"/>
          <w:numId w:val="1"/>
        </w:numPr>
        <w:rPr>
          <w:rFonts w:ascii="Arial" w:eastAsia="Arial" w:hAnsi="Arial" w:cs="Arial"/>
          <w:sz w:val="22"/>
          <w:szCs w:val="22"/>
        </w:rPr>
      </w:pPr>
      <w:r w:rsidRPr="6E63F9C7">
        <w:rPr>
          <w:rFonts w:ascii="Arial" w:eastAsia="Arial" w:hAnsi="Arial" w:cs="Arial"/>
          <w:sz w:val="22"/>
          <w:szCs w:val="22"/>
        </w:rPr>
        <w:t xml:space="preserve">Gebruik van </w:t>
      </w:r>
      <w:r w:rsidRPr="004E3D54">
        <w:rPr>
          <w:rFonts w:ascii="Arial" w:eastAsia="Arial" w:hAnsi="Arial" w:cs="Arial"/>
          <w:b/>
          <w:bCs/>
          <w:sz w:val="22"/>
          <w:szCs w:val="22"/>
        </w:rPr>
        <w:t>standaard bestandsformaten</w:t>
      </w:r>
      <w:r w:rsidR="004E3D54">
        <w:rPr>
          <w:rFonts w:ascii="Arial" w:eastAsia="Arial" w:hAnsi="Arial" w:cs="Arial"/>
          <w:sz w:val="22"/>
          <w:szCs w:val="22"/>
        </w:rPr>
        <w:t>: l</w:t>
      </w:r>
      <w:r w:rsidRPr="6E63F9C7">
        <w:rPr>
          <w:rFonts w:ascii="Arial" w:eastAsia="Arial" w:hAnsi="Arial" w:cs="Arial"/>
          <w:sz w:val="22"/>
          <w:szCs w:val="22"/>
        </w:rPr>
        <w:t xml:space="preserve">eermateriaal wordt aangeboden in open en gangbare formaten zoals Office-programma's en XML, maar ook standaardformaten voor afbeeldingen en video's (commercieel danwel open).  </w:t>
      </w:r>
    </w:p>
    <w:p w14:paraId="1995DAEC" w14:textId="63BD1312" w:rsidR="04535688" w:rsidRDefault="0F645760" w:rsidP="6E63F9C7">
      <w:pPr>
        <w:pStyle w:val="Lijstalinea"/>
        <w:numPr>
          <w:ilvl w:val="0"/>
          <w:numId w:val="1"/>
        </w:numPr>
        <w:rPr>
          <w:rFonts w:ascii="Arial" w:eastAsia="Arial" w:hAnsi="Arial" w:cs="Arial"/>
          <w:sz w:val="22"/>
          <w:szCs w:val="22"/>
        </w:rPr>
      </w:pPr>
      <w:r w:rsidRPr="004E3D54">
        <w:rPr>
          <w:rFonts w:ascii="Arial" w:eastAsia="Arial" w:hAnsi="Arial" w:cs="Arial"/>
          <w:b/>
          <w:bCs/>
          <w:sz w:val="22"/>
          <w:szCs w:val="22"/>
        </w:rPr>
        <w:t>Platformonafhankelijkheid</w:t>
      </w:r>
      <w:r w:rsidR="004E3D54">
        <w:rPr>
          <w:rFonts w:ascii="Arial" w:eastAsia="Arial" w:hAnsi="Arial" w:cs="Arial"/>
          <w:sz w:val="22"/>
          <w:szCs w:val="22"/>
        </w:rPr>
        <w:t>: l</w:t>
      </w:r>
      <w:r w:rsidRPr="6E63F9C7">
        <w:rPr>
          <w:rFonts w:ascii="Arial" w:eastAsia="Arial" w:hAnsi="Arial" w:cs="Arial"/>
          <w:sz w:val="22"/>
          <w:szCs w:val="22"/>
        </w:rPr>
        <w:t xml:space="preserve">eermateriaal moet toegankelijk zijn op verschillende systemen (LMS, mobiele apps, webbrowsers).  </w:t>
      </w:r>
    </w:p>
    <w:p w14:paraId="3475C6FB" w14:textId="561BE4B7" w:rsidR="1BC8565B" w:rsidRDefault="1BC8565B" w:rsidP="6E63F9C7">
      <w:pPr>
        <w:rPr>
          <w:rFonts w:ascii="Arial" w:eastAsia="Arial" w:hAnsi="Arial" w:cs="Arial"/>
          <w:sz w:val="22"/>
          <w:szCs w:val="22"/>
        </w:rPr>
      </w:pPr>
    </w:p>
    <w:p w14:paraId="501E02E1" w14:textId="3335F545" w:rsidR="04535688" w:rsidRPr="00F01FEC" w:rsidRDefault="0F645760" w:rsidP="00F01FEC">
      <w:pPr>
        <w:pStyle w:val="Kop2"/>
      </w:pPr>
      <w:proofErr w:type="spellStart"/>
      <w:r w:rsidRPr="00F01FEC">
        <w:t>Reusable</w:t>
      </w:r>
      <w:proofErr w:type="spellEnd"/>
      <w:r w:rsidRPr="00F01FEC">
        <w:t xml:space="preserve"> (Herbruikbaar)</w:t>
      </w:r>
    </w:p>
    <w:p w14:paraId="586BF713" w14:textId="52382FDF" w:rsidR="1BC8565B" w:rsidRPr="004E3D54" w:rsidRDefault="0F645760" w:rsidP="004E3D54">
      <w:pPr>
        <w:pStyle w:val="Lijstalinea"/>
        <w:numPr>
          <w:ilvl w:val="0"/>
          <w:numId w:val="1"/>
        </w:numPr>
        <w:rPr>
          <w:rFonts w:ascii="Arial" w:eastAsia="Arial" w:hAnsi="Arial" w:cs="Arial"/>
          <w:sz w:val="22"/>
          <w:szCs w:val="22"/>
        </w:rPr>
      </w:pPr>
      <w:r w:rsidRPr="004E3D54">
        <w:rPr>
          <w:rFonts w:ascii="Arial" w:eastAsia="Arial" w:hAnsi="Arial" w:cs="Arial"/>
          <w:b/>
          <w:bCs/>
          <w:sz w:val="22"/>
          <w:szCs w:val="22"/>
        </w:rPr>
        <w:t>Duidelijke licentie-informatie</w:t>
      </w:r>
      <w:r w:rsidR="004E3D54">
        <w:rPr>
          <w:rFonts w:ascii="Arial" w:eastAsia="Arial" w:hAnsi="Arial" w:cs="Arial"/>
          <w:sz w:val="22"/>
          <w:szCs w:val="22"/>
        </w:rPr>
        <w:t>: e</w:t>
      </w:r>
      <w:r w:rsidRPr="6E63F9C7">
        <w:rPr>
          <w:rFonts w:ascii="Arial" w:eastAsia="Arial" w:hAnsi="Arial" w:cs="Arial"/>
          <w:sz w:val="22"/>
          <w:szCs w:val="22"/>
        </w:rPr>
        <w:t xml:space="preserve">lk leermateriaal is voorzien van een duidelijke licentie, waarmee inzichtelijk wordt gemaakt welk hergebruik en welke bewerkingen zijn toegestaan.  </w:t>
      </w:r>
    </w:p>
    <w:p w14:paraId="2D08F56C" w14:textId="2B5D3DCD" w:rsidR="1BC8565B" w:rsidRPr="004E3D54" w:rsidRDefault="0F645760" w:rsidP="004E3D54">
      <w:pPr>
        <w:pStyle w:val="Lijstalinea"/>
        <w:numPr>
          <w:ilvl w:val="0"/>
          <w:numId w:val="1"/>
        </w:numPr>
        <w:rPr>
          <w:rFonts w:ascii="Arial" w:eastAsia="Arial" w:hAnsi="Arial" w:cs="Arial"/>
          <w:sz w:val="22"/>
          <w:szCs w:val="22"/>
        </w:rPr>
      </w:pPr>
      <w:r w:rsidRPr="004E3D54">
        <w:rPr>
          <w:rFonts w:ascii="Arial" w:eastAsia="Arial" w:hAnsi="Arial" w:cs="Arial"/>
          <w:b/>
          <w:bCs/>
          <w:sz w:val="22"/>
          <w:szCs w:val="22"/>
        </w:rPr>
        <w:t>Beschikbaar in bewerkbare formaten</w:t>
      </w:r>
      <w:r w:rsidR="004E3D54">
        <w:rPr>
          <w:rFonts w:ascii="Arial" w:eastAsia="Arial" w:hAnsi="Arial" w:cs="Arial"/>
          <w:sz w:val="22"/>
          <w:szCs w:val="22"/>
        </w:rPr>
        <w:t>: l</w:t>
      </w:r>
      <w:r w:rsidRPr="6E63F9C7">
        <w:rPr>
          <w:rFonts w:ascii="Arial" w:eastAsia="Arial" w:hAnsi="Arial" w:cs="Arial"/>
          <w:sz w:val="22"/>
          <w:szCs w:val="22"/>
        </w:rPr>
        <w:t xml:space="preserve">eermateriaal wordt aangeboden in open formaten die breed ondersteund worden, en aanpassingen en hergebruik door docenten en studenten vergemakkelijken.  </w:t>
      </w:r>
    </w:p>
    <w:p w14:paraId="3E914203" w14:textId="3627D6F7" w:rsidR="1BC8565B" w:rsidRPr="004E3D54" w:rsidRDefault="0F645760" w:rsidP="004E3D54">
      <w:pPr>
        <w:pStyle w:val="Lijstalinea"/>
        <w:numPr>
          <w:ilvl w:val="0"/>
          <w:numId w:val="1"/>
        </w:numPr>
        <w:rPr>
          <w:rFonts w:ascii="Arial" w:eastAsia="Arial" w:hAnsi="Arial" w:cs="Arial"/>
          <w:sz w:val="22"/>
          <w:szCs w:val="22"/>
        </w:rPr>
      </w:pPr>
      <w:proofErr w:type="spellStart"/>
      <w:r w:rsidRPr="004E3D54">
        <w:rPr>
          <w:rFonts w:ascii="Arial" w:eastAsia="Arial" w:hAnsi="Arial" w:cs="Arial"/>
          <w:b/>
          <w:bCs/>
          <w:sz w:val="22"/>
          <w:szCs w:val="22"/>
        </w:rPr>
        <w:t>Modulariteit</w:t>
      </w:r>
      <w:proofErr w:type="spellEnd"/>
      <w:r w:rsidR="004E3D54">
        <w:rPr>
          <w:rFonts w:ascii="Arial" w:eastAsia="Arial" w:hAnsi="Arial" w:cs="Arial"/>
          <w:b/>
          <w:bCs/>
          <w:sz w:val="22"/>
          <w:szCs w:val="22"/>
        </w:rPr>
        <w:t>:</w:t>
      </w:r>
      <w:r w:rsidRPr="6E63F9C7">
        <w:rPr>
          <w:rFonts w:ascii="Arial" w:eastAsia="Arial" w:hAnsi="Arial" w:cs="Arial"/>
          <w:sz w:val="22"/>
          <w:szCs w:val="22"/>
        </w:rPr>
        <w:t xml:space="preserve"> </w:t>
      </w:r>
      <w:r w:rsidR="004E3D54">
        <w:rPr>
          <w:rFonts w:ascii="Arial" w:eastAsia="Arial" w:hAnsi="Arial" w:cs="Arial"/>
          <w:sz w:val="22"/>
          <w:szCs w:val="22"/>
        </w:rPr>
        <w:t>l</w:t>
      </w:r>
      <w:r w:rsidRPr="6E63F9C7">
        <w:rPr>
          <w:rFonts w:ascii="Arial" w:eastAsia="Arial" w:hAnsi="Arial" w:cs="Arial"/>
          <w:sz w:val="22"/>
          <w:szCs w:val="22"/>
        </w:rPr>
        <w:t xml:space="preserve">eermateriaal is opgedeeld in vindbare kleinere, herbruikbare modules. Dit vergemakkelijkt hergebruik in verschillende contexten en leeromgevingen.  </w:t>
      </w:r>
    </w:p>
    <w:p w14:paraId="1CE24041" w14:textId="0ACD353F" w:rsidR="1BC8565B" w:rsidRPr="004E3D54" w:rsidRDefault="0F645760" w:rsidP="004E3D54">
      <w:pPr>
        <w:pStyle w:val="Lijstalinea"/>
        <w:numPr>
          <w:ilvl w:val="0"/>
          <w:numId w:val="1"/>
        </w:numPr>
        <w:rPr>
          <w:rFonts w:ascii="Arial" w:eastAsia="Arial" w:hAnsi="Arial" w:cs="Arial"/>
          <w:sz w:val="22"/>
          <w:szCs w:val="22"/>
        </w:rPr>
      </w:pPr>
      <w:r w:rsidRPr="004E3D54">
        <w:rPr>
          <w:rFonts w:ascii="Arial" w:eastAsia="Arial" w:hAnsi="Arial" w:cs="Arial"/>
          <w:b/>
          <w:bCs/>
          <w:sz w:val="22"/>
          <w:szCs w:val="22"/>
        </w:rPr>
        <w:t>Rijke context en didactische metadata</w:t>
      </w:r>
      <w:r w:rsidR="004E3D54">
        <w:rPr>
          <w:rFonts w:ascii="Arial" w:eastAsia="Arial" w:hAnsi="Arial" w:cs="Arial"/>
          <w:sz w:val="22"/>
          <w:szCs w:val="22"/>
        </w:rPr>
        <w:t>: l</w:t>
      </w:r>
      <w:r w:rsidRPr="6E63F9C7">
        <w:rPr>
          <w:rFonts w:ascii="Arial" w:eastAsia="Arial" w:hAnsi="Arial" w:cs="Arial"/>
          <w:sz w:val="22"/>
          <w:szCs w:val="22"/>
        </w:rPr>
        <w:t xml:space="preserve">eermateriaal bevat voldoende contextuele informatie (zoals leerdoelen / leeruitkomsten) over hoe en in welke situaties het effectief kan worden gebruikt.  </w:t>
      </w:r>
    </w:p>
    <w:p w14:paraId="25B69011" w14:textId="7ADC6FBE" w:rsidR="1BC8565B" w:rsidRPr="004E3D54" w:rsidRDefault="0F645760" w:rsidP="1BC8565B">
      <w:pPr>
        <w:pStyle w:val="Lijstalinea"/>
        <w:numPr>
          <w:ilvl w:val="0"/>
          <w:numId w:val="1"/>
        </w:numPr>
        <w:rPr>
          <w:rFonts w:ascii="Arial" w:eastAsia="Arial" w:hAnsi="Arial" w:cs="Arial"/>
          <w:sz w:val="22"/>
          <w:szCs w:val="22"/>
        </w:rPr>
      </w:pPr>
      <w:r w:rsidRPr="004E3D54">
        <w:rPr>
          <w:rFonts w:ascii="Arial" w:eastAsia="Arial" w:hAnsi="Arial" w:cs="Arial"/>
          <w:b/>
          <w:bCs/>
          <w:sz w:val="22"/>
          <w:szCs w:val="22"/>
        </w:rPr>
        <w:t>Documentatie over herkomst en wijzigingen</w:t>
      </w:r>
      <w:r w:rsidR="004E3D54">
        <w:rPr>
          <w:rFonts w:ascii="Arial" w:eastAsia="Arial" w:hAnsi="Arial" w:cs="Arial"/>
          <w:sz w:val="22"/>
          <w:szCs w:val="22"/>
        </w:rPr>
        <w:t>: e</w:t>
      </w:r>
      <w:r w:rsidRPr="6E63F9C7">
        <w:rPr>
          <w:rFonts w:ascii="Arial" w:eastAsia="Arial" w:hAnsi="Arial" w:cs="Arial"/>
          <w:sz w:val="22"/>
          <w:szCs w:val="22"/>
        </w:rPr>
        <w:t>r wordt gepubliceerd en bijgehouden wie het materiaal heeft gemaakt en wanneer het is bijgewerkt.</w:t>
      </w:r>
    </w:p>
    <w:p w14:paraId="4DDBABCF" w14:textId="5A8A29B1" w:rsidR="7E81F858" w:rsidRDefault="7E81F858" w:rsidP="65D3BC5F"/>
    <w:sectPr w:rsidR="7E81F85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E654" w14:textId="77777777" w:rsidR="004E3D54" w:rsidRDefault="004E3D54">
      <w:pPr>
        <w:spacing w:after="0" w:line="240" w:lineRule="auto"/>
      </w:pPr>
      <w:r>
        <w:separator/>
      </w:r>
    </w:p>
  </w:endnote>
  <w:endnote w:type="continuationSeparator" w:id="0">
    <w:p w14:paraId="6B7A0000" w14:textId="77777777" w:rsidR="004E3D54" w:rsidRDefault="004E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E63F9C7" w14:paraId="5C020E02" w14:textId="77777777" w:rsidTr="6E63F9C7">
      <w:trPr>
        <w:trHeight w:val="300"/>
      </w:trPr>
      <w:tc>
        <w:tcPr>
          <w:tcW w:w="3005" w:type="dxa"/>
        </w:tcPr>
        <w:p w14:paraId="53757625" w14:textId="74D091F7" w:rsidR="6E63F9C7" w:rsidRDefault="6E63F9C7" w:rsidP="6E63F9C7">
          <w:pPr>
            <w:pStyle w:val="Koptekst"/>
            <w:ind w:left="-115"/>
          </w:pPr>
        </w:p>
      </w:tc>
      <w:tc>
        <w:tcPr>
          <w:tcW w:w="3005" w:type="dxa"/>
        </w:tcPr>
        <w:p w14:paraId="624339DA" w14:textId="06F4463F" w:rsidR="6E63F9C7" w:rsidRDefault="6E63F9C7" w:rsidP="6E63F9C7">
          <w:pPr>
            <w:pStyle w:val="Koptekst"/>
            <w:jc w:val="center"/>
          </w:pPr>
        </w:p>
      </w:tc>
      <w:tc>
        <w:tcPr>
          <w:tcW w:w="3005" w:type="dxa"/>
        </w:tcPr>
        <w:p w14:paraId="3E3C10D4" w14:textId="01386CDD" w:rsidR="6E63F9C7" w:rsidRDefault="6E63F9C7" w:rsidP="6E63F9C7">
          <w:pPr>
            <w:pStyle w:val="Koptekst"/>
            <w:ind w:right="-115"/>
            <w:jc w:val="right"/>
          </w:pPr>
        </w:p>
      </w:tc>
    </w:tr>
  </w:tbl>
  <w:p w14:paraId="0C30B897" w14:textId="253C34DF" w:rsidR="6E63F9C7" w:rsidRDefault="6E63F9C7" w:rsidP="6E63F9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8006" w14:textId="77777777" w:rsidR="004E3D54" w:rsidRDefault="004E3D54">
      <w:pPr>
        <w:spacing w:after="0" w:line="240" w:lineRule="auto"/>
      </w:pPr>
      <w:r>
        <w:separator/>
      </w:r>
    </w:p>
  </w:footnote>
  <w:footnote w:type="continuationSeparator" w:id="0">
    <w:p w14:paraId="7D3D49BE" w14:textId="77777777" w:rsidR="004E3D54" w:rsidRDefault="004E3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87A0" w14:textId="19CE338B" w:rsidR="6E63F9C7" w:rsidRDefault="00F01FEC" w:rsidP="00F01FEC">
    <w:pPr>
      <w:pStyle w:val="Koptekst"/>
      <w:jc w:val="center"/>
    </w:pPr>
    <w:r>
      <w:rPr>
        <w:noProof/>
      </w:rPr>
      <w:drawing>
        <wp:inline distT="0" distB="0" distL="0" distR="0" wp14:anchorId="169C1ABD" wp14:editId="4FA6E59D">
          <wp:extent cx="3482567" cy="1073785"/>
          <wp:effectExtent l="0" t="0" r="0" b="0"/>
          <wp:docPr id="5588184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18490" name="Afbeelding 558818490"/>
                  <pic:cNvPicPr/>
                </pic:nvPicPr>
                <pic:blipFill>
                  <a:blip r:embed="rId1">
                    <a:extLst>
                      <a:ext uri="{28A0092B-C50C-407E-A947-70E740481C1C}">
                        <a14:useLocalDpi xmlns:a14="http://schemas.microsoft.com/office/drawing/2010/main" val="0"/>
                      </a:ext>
                    </a:extLst>
                  </a:blip>
                  <a:stretch>
                    <a:fillRect/>
                  </a:stretch>
                </pic:blipFill>
                <pic:spPr>
                  <a:xfrm>
                    <a:off x="0" y="0"/>
                    <a:ext cx="3493136" cy="107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63F1"/>
    <w:multiLevelType w:val="hybridMultilevel"/>
    <w:tmpl w:val="E88836D2"/>
    <w:lvl w:ilvl="0" w:tplc="753C128A">
      <w:start w:val="1"/>
      <w:numFmt w:val="decimal"/>
      <w:lvlText w:val="%1."/>
      <w:lvlJc w:val="left"/>
      <w:pPr>
        <w:ind w:left="720" w:hanging="360"/>
      </w:pPr>
    </w:lvl>
    <w:lvl w:ilvl="1" w:tplc="A7FCEA5E">
      <w:start w:val="1"/>
      <w:numFmt w:val="lowerLetter"/>
      <w:lvlText w:val="%2."/>
      <w:lvlJc w:val="left"/>
      <w:pPr>
        <w:ind w:left="1440" w:hanging="360"/>
      </w:pPr>
    </w:lvl>
    <w:lvl w:ilvl="2" w:tplc="99F85544">
      <w:start w:val="1"/>
      <w:numFmt w:val="lowerRoman"/>
      <w:lvlText w:val="%3."/>
      <w:lvlJc w:val="right"/>
      <w:pPr>
        <w:ind w:left="2160" w:hanging="180"/>
      </w:pPr>
    </w:lvl>
    <w:lvl w:ilvl="3" w:tplc="6310EDD6">
      <w:start w:val="1"/>
      <w:numFmt w:val="decimal"/>
      <w:lvlText w:val="%4."/>
      <w:lvlJc w:val="left"/>
      <w:pPr>
        <w:ind w:left="2880" w:hanging="360"/>
      </w:pPr>
    </w:lvl>
    <w:lvl w:ilvl="4" w:tplc="A9524C60">
      <w:start w:val="1"/>
      <w:numFmt w:val="lowerLetter"/>
      <w:lvlText w:val="%5."/>
      <w:lvlJc w:val="left"/>
      <w:pPr>
        <w:ind w:left="3600" w:hanging="360"/>
      </w:pPr>
    </w:lvl>
    <w:lvl w:ilvl="5" w:tplc="4FFA8416">
      <w:start w:val="1"/>
      <w:numFmt w:val="lowerRoman"/>
      <w:lvlText w:val="%6."/>
      <w:lvlJc w:val="right"/>
      <w:pPr>
        <w:ind w:left="4320" w:hanging="180"/>
      </w:pPr>
    </w:lvl>
    <w:lvl w:ilvl="6" w:tplc="E04C609E">
      <w:start w:val="1"/>
      <w:numFmt w:val="decimal"/>
      <w:lvlText w:val="%7."/>
      <w:lvlJc w:val="left"/>
      <w:pPr>
        <w:ind w:left="5040" w:hanging="360"/>
      </w:pPr>
    </w:lvl>
    <w:lvl w:ilvl="7" w:tplc="E94814B8">
      <w:start w:val="1"/>
      <w:numFmt w:val="lowerLetter"/>
      <w:lvlText w:val="%8."/>
      <w:lvlJc w:val="left"/>
      <w:pPr>
        <w:ind w:left="5760" w:hanging="360"/>
      </w:pPr>
    </w:lvl>
    <w:lvl w:ilvl="8" w:tplc="1BB06F22">
      <w:start w:val="1"/>
      <w:numFmt w:val="lowerRoman"/>
      <w:lvlText w:val="%9."/>
      <w:lvlJc w:val="right"/>
      <w:pPr>
        <w:ind w:left="6480" w:hanging="180"/>
      </w:pPr>
    </w:lvl>
  </w:abstractNum>
  <w:num w:numId="1" w16cid:durableId="204101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D110"/>
    <w:rsid w:val="00010AC4"/>
    <w:rsid w:val="00254BA7"/>
    <w:rsid w:val="004E3D54"/>
    <w:rsid w:val="007CD110"/>
    <w:rsid w:val="00F01FEC"/>
    <w:rsid w:val="04535688"/>
    <w:rsid w:val="051CB159"/>
    <w:rsid w:val="057AB5D0"/>
    <w:rsid w:val="058125A2"/>
    <w:rsid w:val="09A9ED3D"/>
    <w:rsid w:val="0F645760"/>
    <w:rsid w:val="150FF298"/>
    <w:rsid w:val="1B3F1A8B"/>
    <w:rsid w:val="1BA33F7B"/>
    <w:rsid w:val="1BC8565B"/>
    <w:rsid w:val="25925A79"/>
    <w:rsid w:val="25EACDA7"/>
    <w:rsid w:val="306E77B4"/>
    <w:rsid w:val="34171E87"/>
    <w:rsid w:val="3BF22A21"/>
    <w:rsid w:val="3DCEA1CA"/>
    <w:rsid w:val="3E153947"/>
    <w:rsid w:val="3EA51829"/>
    <w:rsid w:val="403CF002"/>
    <w:rsid w:val="4570965A"/>
    <w:rsid w:val="470898C0"/>
    <w:rsid w:val="4C890994"/>
    <w:rsid w:val="4D8ED481"/>
    <w:rsid w:val="4DB15109"/>
    <w:rsid w:val="4DF4469B"/>
    <w:rsid w:val="512D6F32"/>
    <w:rsid w:val="51544603"/>
    <w:rsid w:val="597E89EC"/>
    <w:rsid w:val="59E05C1F"/>
    <w:rsid w:val="63587653"/>
    <w:rsid w:val="6410B465"/>
    <w:rsid w:val="653487EF"/>
    <w:rsid w:val="65D3BC5F"/>
    <w:rsid w:val="6670D26F"/>
    <w:rsid w:val="6BA5568B"/>
    <w:rsid w:val="6E63F9C7"/>
    <w:rsid w:val="70BE1EEE"/>
    <w:rsid w:val="7120B60A"/>
    <w:rsid w:val="72287A7C"/>
    <w:rsid w:val="774DC73E"/>
    <w:rsid w:val="7A57AF6E"/>
    <w:rsid w:val="7E81F8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CD110"/>
  <w15:chartTrackingRefBased/>
  <w15:docId w15:val="{C93F00F3-95F2-415B-9206-921E6708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65D3B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unhideWhenUsed/>
    <w:qFormat/>
    <w:rsid w:val="1BC85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rsid w:val="7E81F858"/>
    <w:pPr>
      <w:spacing w:after="80" w:line="240" w:lineRule="auto"/>
      <w:contextualSpacing/>
    </w:pPr>
    <w:rPr>
      <w:rFonts w:asciiTheme="majorHAnsi" w:eastAsiaTheme="majorEastAsia" w:hAnsiTheme="majorHAnsi" w:cstheme="majorBidi"/>
      <w:sz w:val="56"/>
      <w:szCs w:val="56"/>
    </w:rPr>
  </w:style>
  <w:style w:type="paragraph" w:styleId="Ondertitel">
    <w:name w:val="Subtitle"/>
    <w:basedOn w:val="Standaard"/>
    <w:next w:val="Standaard"/>
    <w:uiPriority w:val="11"/>
    <w:qFormat/>
    <w:rsid w:val="1BC8565B"/>
    <w:rPr>
      <w:rFonts w:eastAsiaTheme="majorEastAsia" w:cstheme="majorBidi"/>
      <w:color w:val="595959" w:themeColor="text1" w:themeTint="A6"/>
      <w:sz w:val="28"/>
      <w:szCs w:val="28"/>
    </w:rPr>
  </w:style>
  <w:style w:type="paragraph" w:styleId="Lijstalinea">
    <w:name w:val="List Paragraph"/>
    <w:basedOn w:val="Standaard"/>
    <w:uiPriority w:val="34"/>
    <w:qFormat/>
    <w:pPr>
      <w:ind w:left="720"/>
      <w:contextualSpacing/>
    </w:pPr>
  </w:style>
  <w:style w:type="paragraph" w:styleId="Koptekst">
    <w:name w:val="header"/>
    <w:basedOn w:val="Standaard"/>
    <w:uiPriority w:val="99"/>
    <w:unhideWhenUsed/>
    <w:rsid w:val="6E63F9C7"/>
    <w:pPr>
      <w:tabs>
        <w:tab w:val="center" w:pos="4680"/>
        <w:tab w:val="right" w:pos="9360"/>
      </w:tabs>
      <w:spacing w:after="0" w:line="240" w:lineRule="auto"/>
    </w:pPr>
  </w:style>
  <w:style w:type="paragraph" w:styleId="Voettekst">
    <w:name w:val="footer"/>
    <w:basedOn w:val="Standaard"/>
    <w:uiPriority w:val="99"/>
    <w:unhideWhenUsed/>
    <w:rsid w:val="6E63F9C7"/>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6932D066E3347A094FCD988665BA4" ma:contentTypeVersion="17" ma:contentTypeDescription="Een nieuw document maken." ma:contentTypeScope="" ma:versionID="350bf86477d7c758b2b1df094df746d9">
  <xsd:schema xmlns:xsd="http://www.w3.org/2001/XMLSchema" xmlns:xs="http://www.w3.org/2001/XMLSchema" xmlns:p="http://schemas.microsoft.com/office/2006/metadata/properties" xmlns:ns2="0e4246f7-d817-4834-b1da-575b7d393314" xmlns:ns3="416232b8-761f-41f2-8c92-b243b1a5e90b" targetNamespace="http://schemas.microsoft.com/office/2006/metadata/properties" ma:root="true" ma:fieldsID="5c714e1bfcffe2de211b9a937b41abd5" ns2:_="" ns3:_="">
    <xsd:import namespace="0e4246f7-d817-4834-b1da-575b7d393314"/>
    <xsd:import namespace="416232b8-761f-41f2-8c92-b243b1a5e9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46f7-d817-4834-b1da-575b7d39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6232b8-761f-41f2-8c92-b243b1a5e90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84244d5e-1d7d-459f-833b-5f96081d92bb}" ma:internalName="TaxCatchAll" ma:showField="CatchAllData" ma:web="416232b8-761f-41f2-8c92-b243b1a5e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6232b8-761f-41f2-8c92-b243b1a5e90b" xsi:nil="true"/>
    <lcf76f155ced4ddcb4097134ff3c332f xmlns="0e4246f7-d817-4834-b1da-575b7d3933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5A5E2-B443-4499-AE72-7EE7F5B4493C}"/>
</file>

<file path=customXml/itemProps2.xml><?xml version="1.0" encoding="utf-8"?>
<ds:datastoreItem xmlns:ds="http://schemas.openxmlformats.org/officeDocument/2006/customXml" ds:itemID="{58D3B926-7023-4EC9-A968-7365EDCD8ACD}">
  <ds:schemaRefs>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416232b8-761f-41f2-8c92-b243b1a5e90b"/>
    <ds:schemaRef ds:uri="0e4246f7-d817-4834-b1da-575b7d393314"/>
    <ds:schemaRef ds:uri="http://purl.org/dc/terms/"/>
    <ds:schemaRef ds:uri="http://purl.org/dc/elements/1.1/"/>
  </ds:schemaRefs>
</ds:datastoreItem>
</file>

<file path=customXml/itemProps3.xml><?xml version="1.0" encoding="utf-8"?>
<ds:datastoreItem xmlns:ds="http://schemas.openxmlformats.org/officeDocument/2006/customXml" ds:itemID="{2901B0B7-C5B1-4A6F-9C16-11D15CFFB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653</Words>
  <Characters>3597</Characters>
  <Application>Microsoft Office Word</Application>
  <DocSecurity>0</DocSecurity>
  <Lines>29</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Unck</dc:creator>
  <cp:keywords/>
  <dc:description/>
  <cp:lastModifiedBy>Suzanne Unck</cp:lastModifiedBy>
  <cp:revision>3</cp:revision>
  <dcterms:created xsi:type="dcterms:W3CDTF">2025-10-30T12:06:00Z</dcterms:created>
  <dcterms:modified xsi:type="dcterms:W3CDTF">2025-11-05T12:59:00Z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0x010100C256932D066E3347A094FCD988665BA4</vt:lpwstr>
  </property>
  <property fmtid="{D5CDD505-2E9C-101B-9397-08002B2CF9AE}" pid="3" name="MediaServiceImageTags">
    <vt:lpwstr/>
  </property>
</Properties>
</file>