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27" w:rsidRPr="00850097" w:rsidRDefault="005E5327" w:rsidP="00EF475A">
      <w:pPr>
        <w:pStyle w:val="Title"/>
        <w:spacing w:before="0"/>
        <w:rPr>
          <w:b/>
        </w:rPr>
      </w:pPr>
      <w:r>
        <w:rPr>
          <w:b/>
        </w:rPr>
        <w:t>tangens in vierhoek</w:t>
      </w:r>
      <w:r w:rsidRPr="00850097">
        <w:rPr>
          <w:b/>
        </w:rPr>
        <w:t xml:space="preserve"> </w:t>
      </w:r>
    </w:p>
    <w:p w:rsidR="005E5327" w:rsidRPr="00C86F10" w:rsidRDefault="005E5327" w:rsidP="005E5327">
      <w:pPr>
        <w:spacing w:after="0"/>
        <w:rPr>
          <w:sz w:val="21"/>
          <w:szCs w:val="21"/>
        </w:rPr>
      </w:pPr>
      <w:r>
        <w:rPr>
          <w:b/>
          <w:sz w:val="21"/>
          <w:szCs w:val="21"/>
        </w:rPr>
        <w:t>Klas</w:t>
      </w:r>
      <w:r>
        <w:rPr>
          <w:sz w:val="21"/>
          <w:szCs w:val="21"/>
        </w:rPr>
        <w:t>:   vwo 3</w:t>
      </w:r>
    </w:p>
    <w:p w:rsidR="005E5327" w:rsidRPr="00C86F10" w:rsidRDefault="005E5327" w:rsidP="005E5327">
      <w:pPr>
        <w:spacing w:after="0"/>
        <w:rPr>
          <w:sz w:val="21"/>
          <w:szCs w:val="21"/>
        </w:rPr>
      </w:pPr>
      <w:r>
        <w:rPr>
          <w:b/>
          <w:sz w:val="21"/>
          <w:szCs w:val="21"/>
        </w:rPr>
        <w:t>Onderwerp</w:t>
      </w:r>
      <w:r>
        <w:rPr>
          <w:sz w:val="21"/>
          <w:szCs w:val="21"/>
        </w:rPr>
        <w:t>:   tangens (en Pythagoras)</w:t>
      </w:r>
    </w:p>
    <w:p w:rsidR="005E5327" w:rsidRPr="00C86F10" w:rsidRDefault="005E5327" w:rsidP="005E5327">
      <w:pPr>
        <w:spacing w:after="0"/>
        <w:rPr>
          <w:sz w:val="21"/>
          <w:szCs w:val="21"/>
        </w:rPr>
      </w:pPr>
      <w:r>
        <w:rPr>
          <w:b/>
          <w:sz w:val="21"/>
          <w:szCs w:val="21"/>
        </w:rPr>
        <w:t>Leerd</w:t>
      </w:r>
      <w:r w:rsidRPr="00100059">
        <w:rPr>
          <w:b/>
          <w:sz w:val="21"/>
          <w:szCs w:val="21"/>
        </w:rPr>
        <w:t>oel</w:t>
      </w:r>
      <w:r>
        <w:rPr>
          <w:sz w:val="21"/>
          <w:szCs w:val="21"/>
        </w:rPr>
        <w:t>:  Tangens toepassen, probleem oplossen in het algemeen door bijvoorbeeld: hulplijn tekenen, variabele invoeren.</w:t>
      </w:r>
    </w:p>
    <w:p w:rsidR="005E5327" w:rsidRPr="00483934" w:rsidRDefault="005E5327" w:rsidP="005E5327">
      <w:pPr>
        <w:spacing w:after="0"/>
        <w:rPr>
          <w:sz w:val="21"/>
          <w:szCs w:val="21"/>
        </w:rPr>
      </w:pPr>
      <w:r w:rsidRPr="00100059">
        <w:rPr>
          <w:b/>
          <w:sz w:val="21"/>
          <w:szCs w:val="21"/>
        </w:rPr>
        <w:t>Omschrijving</w:t>
      </w:r>
      <w:r>
        <w:rPr>
          <w:sz w:val="21"/>
          <w:szCs w:val="21"/>
        </w:rPr>
        <w:t>:  kan indiv</w:t>
      </w:r>
      <w:bookmarkStart w:id="0" w:name="_GoBack"/>
      <w:bookmarkEnd w:id="0"/>
      <w:r>
        <w:rPr>
          <w:sz w:val="21"/>
          <w:szCs w:val="21"/>
        </w:rPr>
        <w:t xml:space="preserve">idueel of in groepjes. Kan vrij vroeg als uitdaging bij het onderwerp ‘goniometrie’ aangeboden worden, omdat alleen de tangens nodig is.   </w:t>
      </w:r>
    </w:p>
    <w:p w:rsidR="005E5327" w:rsidRDefault="005E5327" w:rsidP="005E5327">
      <w:pPr>
        <w:spacing w:after="0"/>
        <w:rPr>
          <w:sz w:val="21"/>
          <w:szCs w:val="21"/>
        </w:rPr>
      </w:pPr>
      <w:r w:rsidRPr="00100059">
        <w:rPr>
          <w:b/>
          <w:sz w:val="21"/>
          <w:szCs w:val="21"/>
        </w:rPr>
        <w:t>Past bij</w:t>
      </w:r>
      <w:r>
        <w:rPr>
          <w:sz w:val="21"/>
          <w:szCs w:val="21"/>
        </w:rPr>
        <w:t>: Getal en Ruimte, Editie 10, Hoofdstuk 6</w:t>
      </w:r>
    </w:p>
    <w:p w:rsidR="00EF475A" w:rsidRPr="00850097" w:rsidRDefault="00EF475A" w:rsidP="005E5327">
      <w:pPr>
        <w:spacing w:after="0"/>
        <w:rPr>
          <w:sz w:val="21"/>
          <w:szCs w:val="21"/>
        </w:rPr>
      </w:pPr>
    </w:p>
    <w:p w:rsidR="005E5327" w:rsidRPr="00520A18" w:rsidRDefault="005E5327" w:rsidP="005E5327">
      <w:pPr>
        <w:pStyle w:val="Heading1"/>
      </w:pPr>
      <w:r w:rsidRPr="00520A18">
        <w:t>Op</w:t>
      </w:r>
      <w:r>
        <w:t>dracht</w:t>
      </w:r>
    </w:p>
    <w:p w:rsidR="005E5327" w:rsidRDefault="005E5327" w:rsidP="005E5327">
      <w:pPr>
        <w:spacing w:after="0"/>
        <w:rPr>
          <w:sz w:val="21"/>
          <w:szCs w:val="21"/>
        </w:rPr>
      </w:pPr>
    </w:p>
    <w:p w:rsidR="005E5327" w:rsidRDefault="005E5327" w:rsidP="005E5327">
      <w:pPr>
        <w:spacing w:after="0"/>
        <w:rPr>
          <w:sz w:val="21"/>
          <w:szCs w:val="21"/>
        </w:rPr>
      </w:pPr>
      <w:r>
        <w:rPr>
          <w:noProof/>
        </w:rPr>
        <w:drawing>
          <wp:inline distT="0" distB="0" distL="0" distR="0">
            <wp:extent cx="5972175" cy="2809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2809875"/>
                    </a:xfrm>
                    <a:prstGeom prst="rect">
                      <a:avLst/>
                    </a:prstGeom>
                    <a:noFill/>
                    <a:ln>
                      <a:noFill/>
                    </a:ln>
                  </pic:spPr>
                </pic:pic>
              </a:graphicData>
            </a:graphic>
          </wp:inline>
        </w:drawing>
      </w:r>
    </w:p>
    <w:p w:rsidR="005E5327" w:rsidRDefault="005E5327" w:rsidP="005E5327">
      <w:pPr>
        <w:spacing w:after="0"/>
        <w:rPr>
          <w:sz w:val="21"/>
          <w:szCs w:val="21"/>
        </w:rPr>
      </w:pPr>
    </w:p>
    <w:p w:rsidR="005E5327" w:rsidRDefault="005E5327" w:rsidP="005E5327">
      <w:pPr>
        <w:spacing w:after="0"/>
        <w:rPr>
          <w:sz w:val="21"/>
          <w:szCs w:val="21"/>
        </w:rPr>
      </w:pPr>
      <w:r w:rsidRPr="00E6169E">
        <w:rPr>
          <w:sz w:val="21"/>
          <w:szCs w:val="21"/>
        </w:rPr>
        <w:t>De opdracht staat</w:t>
      </w:r>
      <w:r>
        <w:rPr>
          <w:sz w:val="21"/>
          <w:szCs w:val="21"/>
        </w:rPr>
        <w:t xml:space="preserve"> ook</w:t>
      </w:r>
      <w:r w:rsidRPr="00E6169E">
        <w:rPr>
          <w:sz w:val="21"/>
          <w:szCs w:val="21"/>
        </w:rPr>
        <w:t xml:space="preserve"> in</w:t>
      </w:r>
      <w:r>
        <w:rPr>
          <w:sz w:val="21"/>
          <w:szCs w:val="21"/>
        </w:rPr>
        <w:t xml:space="preserve"> een PowerP</w:t>
      </w:r>
      <w:r w:rsidRPr="00E6169E">
        <w:rPr>
          <w:sz w:val="21"/>
          <w:szCs w:val="21"/>
        </w:rPr>
        <w:t>oint-bestand.</w:t>
      </w:r>
    </w:p>
    <w:p w:rsidR="005E5327" w:rsidRPr="00E6169E" w:rsidRDefault="005E5327" w:rsidP="005E5327">
      <w:r>
        <w:br w:type="page"/>
      </w:r>
    </w:p>
    <w:p w:rsidR="005E5327" w:rsidRPr="00520A18" w:rsidRDefault="005E5327" w:rsidP="005E5327">
      <w:pPr>
        <w:pStyle w:val="Heading1"/>
      </w:pPr>
      <w:r>
        <w:lastRenderedPageBreak/>
        <w:t>Gebruik in de klas</w:t>
      </w:r>
    </w:p>
    <w:p w:rsidR="005E5327" w:rsidRDefault="005E5327" w:rsidP="005E5327">
      <w:pPr>
        <w:spacing w:after="0"/>
        <w:rPr>
          <w:sz w:val="21"/>
          <w:szCs w:val="21"/>
        </w:rPr>
      </w:pPr>
      <w:r>
        <w:rPr>
          <w:b/>
          <w:sz w:val="21"/>
          <w:szCs w:val="21"/>
        </w:rPr>
        <w:t>Voorkennis leerlingen</w:t>
      </w:r>
      <w:r>
        <w:rPr>
          <w:sz w:val="21"/>
          <w:szCs w:val="21"/>
        </w:rPr>
        <w:t>: Pythagoras, tangens, kwadratische vergelijking oplossen met de abc-formule (twee gelijke basishoeken betekent gelijkbenige driehoek)</w:t>
      </w:r>
    </w:p>
    <w:p w:rsidR="005E5327" w:rsidRDefault="005E5327" w:rsidP="005E5327">
      <w:pPr>
        <w:spacing w:after="0"/>
        <w:rPr>
          <w:sz w:val="21"/>
          <w:szCs w:val="21"/>
        </w:rPr>
      </w:pPr>
      <w:r>
        <w:rPr>
          <w:b/>
          <w:sz w:val="21"/>
          <w:szCs w:val="21"/>
        </w:rPr>
        <w:t>Voorbereiding docent</w:t>
      </w:r>
      <w:r>
        <w:rPr>
          <w:sz w:val="21"/>
          <w:szCs w:val="21"/>
        </w:rPr>
        <w:t>: of projecteren, of uitdelen (in laatste geval kopietjes maken).</w:t>
      </w:r>
    </w:p>
    <w:p w:rsidR="005E5327" w:rsidRDefault="005E5327" w:rsidP="005E5327">
      <w:pPr>
        <w:spacing w:after="0"/>
        <w:rPr>
          <w:sz w:val="21"/>
          <w:szCs w:val="21"/>
        </w:rPr>
      </w:pPr>
      <w:r>
        <w:rPr>
          <w:b/>
          <w:sz w:val="21"/>
          <w:szCs w:val="21"/>
        </w:rPr>
        <w:t>Hoe uit te voeren?</w:t>
      </w:r>
      <w:r>
        <w:rPr>
          <w:sz w:val="21"/>
          <w:szCs w:val="21"/>
        </w:rPr>
        <w:t xml:space="preserve">: Leerlingen kunnen hier individueel of in groepjes mee aan de slag. ‘Snelle’ leerlingen kunnen een ‘hint’ voor de klas bedenken, die niet alles weggeeft, deze kan dan na een tijdje puzzelen gedeeld worden. </w:t>
      </w:r>
    </w:p>
    <w:p w:rsidR="005E5327" w:rsidRDefault="005E5327" w:rsidP="005E5327">
      <w:pPr>
        <w:spacing w:after="0"/>
        <w:rPr>
          <w:sz w:val="21"/>
          <w:szCs w:val="21"/>
        </w:rPr>
      </w:pPr>
      <w:r>
        <w:rPr>
          <w:b/>
          <w:sz w:val="21"/>
          <w:szCs w:val="21"/>
        </w:rPr>
        <w:t>Wat hierna?</w:t>
      </w:r>
      <w:r>
        <w:rPr>
          <w:sz w:val="21"/>
          <w:szCs w:val="21"/>
        </w:rPr>
        <w:t>: In de nabespreking benadrukken dat Pythagoras, abc-formule en tangens allemaal nodig waren om deze opgave te maken: een wiskundig probleem trekt zich niet altijd iets aan van wat er in het hoofdstuk centraal staat!</w:t>
      </w:r>
    </w:p>
    <w:p w:rsidR="005E5327" w:rsidRDefault="005E5327" w:rsidP="005E5327">
      <w:pPr>
        <w:spacing w:after="0"/>
        <w:rPr>
          <w:sz w:val="21"/>
          <w:szCs w:val="21"/>
        </w:rPr>
      </w:pPr>
      <w:r>
        <w:rPr>
          <w:b/>
          <w:sz w:val="21"/>
          <w:szCs w:val="21"/>
        </w:rPr>
        <w:t>Mogelijkheden tot differentiatie</w:t>
      </w:r>
      <w:r>
        <w:rPr>
          <w:sz w:val="21"/>
          <w:szCs w:val="21"/>
        </w:rPr>
        <w:t>: Er zou een soort ‘invul aanpak’ gegeven kunnen worden aan zwakkere leerlingen.</w:t>
      </w:r>
    </w:p>
    <w:p w:rsidR="006C76FC" w:rsidRPr="003F6B65" w:rsidRDefault="006C76FC" w:rsidP="005E5327">
      <w:pPr>
        <w:spacing w:after="0"/>
        <w:ind w:left="720"/>
        <w:contextualSpacing/>
      </w:pPr>
    </w:p>
    <w:sectPr w:rsidR="006C76FC" w:rsidRPr="003F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3F6B65"/>
    <w:rsid w:val="005E5327"/>
    <w:rsid w:val="006C76FC"/>
    <w:rsid w:val="007E514C"/>
    <w:rsid w:val="00EF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443C5129.dotm</Template>
  <TotalTime>0</TotalTime>
  <Pages>2</Pages>
  <Words>200</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3</cp:revision>
  <dcterms:created xsi:type="dcterms:W3CDTF">2015-09-08T11:20:00Z</dcterms:created>
  <dcterms:modified xsi:type="dcterms:W3CDTF">2015-09-08T11:21:00Z</dcterms:modified>
</cp:coreProperties>
</file>