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9794F" w14:textId="49A8A7F0" w:rsidR="00E07EE8" w:rsidRDefault="006648A5" w:rsidP="005D0DB3">
      <w:pPr>
        <w:pStyle w:val="Titel"/>
      </w:pPr>
      <w:r>
        <w:t>Kandelaar</w:t>
      </w:r>
    </w:p>
    <w:p w14:paraId="663F85EA" w14:textId="0C3983DD" w:rsidR="006648A5" w:rsidRDefault="006648A5">
      <w:pPr>
        <w:rPr>
          <w:rFonts w:ascii="Verdana" w:hAnsi="Verdana" w:cs="Verdana"/>
          <w:color w:val="000000"/>
          <w:sz w:val="20"/>
          <w:szCs w:val="20"/>
        </w:rPr>
      </w:pPr>
      <w:r>
        <w:rPr>
          <w:rFonts w:ascii="Verdana" w:hAnsi="Verdana" w:cs="Verdana"/>
          <w:color w:val="000000"/>
          <w:sz w:val="20"/>
          <w:szCs w:val="20"/>
        </w:rPr>
        <w:t>De kaars die omhoog komt</w:t>
      </w:r>
    </w:p>
    <w:p w14:paraId="603DB306" w14:textId="77777777" w:rsidR="005D0DB3" w:rsidRDefault="005D0DB3">
      <w:pPr>
        <w:rPr>
          <w:rFonts w:ascii="Verdana" w:hAnsi="Verdana" w:cs="Verdana"/>
          <w:color w:val="000000"/>
          <w:sz w:val="20"/>
          <w:szCs w:val="20"/>
        </w:rPr>
      </w:pPr>
    </w:p>
    <w:p w14:paraId="2B00ACD5" w14:textId="47078881" w:rsidR="005D0DB3" w:rsidRDefault="005D0DB3">
      <w:pPr>
        <w:rPr>
          <w:rFonts w:ascii="Verdana" w:hAnsi="Verdana" w:cs="Verdana"/>
          <w:color w:val="000000"/>
          <w:sz w:val="20"/>
          <w:szCs w:val="20"/>
        </w:rPr>
      </w:pPr>
      <w:r>
        <w:rPr>
          <w:rFonts w:ascii="Verdana" w:hAnsi="Verdana" w:cs="Verdana"/>
          <w:noProof/>
          <w:color w:val="000000"/>
          <w:sz w:val="20"/>
          <w:szCs w:val="20"/>
        </w:rPr>
        <w:drawing>
          <wp:inline distT="0" distB="0" distL="0" distR="0" wp14:anchorId="070CA35E" wp14:editId="3D2D4193">
            <wp:extent cx="2562727" cy="2043775"/>
            <wp:effectExtent l="0" t="0" r="3175" b="1270"/>
            <wp:docPr id="1" name="Afbeelding 1" descr="Afbeelding met ko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kop&#10;&#10;Automatisch gegenereerde beschrijving"/>
                    <pic:cNvPicPr/>
                  </pic:nvPicPr>
                  <pic:blipFill>
                    <a:blip r:embed="rId6">
                      <a:extLst>
                        <a:ext uri="{28A0092B-C50C-407E-A947-70E740481C1C}">
                          <a14:useLocalDpi xmlns:a14="http://schemas.microsoft.com/office/drawing/2010/main" val="0"/>
                        </a:ext>
                      </a:extLst>
                    </a:blip>
                    <a:stretch>
                      <a:fillRect/>
                    </a:stretch>
                  </pic:blipFill>
                  <pic:spPr>
                    <a:xfrm>
                      <a:off x="0" y="0"/>
                      <a:ext cx="2575421" cy="2053899"/>
                    </a:xfrm>
                    <a:prstGeom prst="rect">
                      <a:avLst/>
                    </a:prstGeom>
                  </pic:spPr>
                </pic:pic>
              </a:graphicData>
            </a:graphic>
          </wp:inline>
        </w:drawing>
      </w:r>
    </w:p>
    <w:p w14:paraId="2FE220DB" w14:textId="35DECE29" w:rsidR="005D0DB3" w:rsidRDefault="005D0DB3" w:rsidP="005D0DB3">
      <w:pPr>
        <w:pStyle w:val="Kop1"/>
      </w:pPr>
      <w:r>
        <w:t>Opdracht</w:t>
      </w:r>
    </w:p>
    <w:p w14:paraId="69DE5F3B" w14:textId="77777777" w:rsidR="005D0DB3" w:rsidRPr="005D0DB3" w:rsidRDefault="005D0DB3" w:rsidP="005D0DB3">
      <w:r w:rsidRPr="005D0DB3">
        <w:t xml:space="preserve">Als je een glas water over een brandend theelichtje zet dat in een met water gevuld schoteltje drijft, gaat het kaarsje na een paar seconden uit door gebrek aan zuurstof. </w:t>
      </w:r>
    </w:p>
    <w:p w14:paraId="12F83E21" w14:textId="77777777" w:rsidR="005D0DB3" w:rsidRPr="005D0DB3" w:rsidRDefault="005D0DB3" w:rsidP="005D0DB3">
      <w:r w:rsidRPr="005D0DB3">
        <w:t xml:space="preserve">Maar waarom stijgt het waterniveau nadat het is uitgegaan, en daarmee ook de kaars? </w:t>
      </w:r>
    </w:p>
    <w:p w14:paraId="58743D98" w14:textId="7838EC72" w:rsidR="005D0DB3" w:rsidRDefault="005D0DB3" w:rsidP="005D0DB3">
      <w:r w:rsidRPr="005D0DB3">
        <w:t>De lift van de kaars is een standaard wetenschappelijk experiment van de kleuterschool via de lagere school tot de middelbare school. Voor leerlingen van de negende klas is er meteen een verklaring beschikbaar, zelfs zonder het eigenlijke experiment: "De kaars verbruikt zuurstof - de luchtdruk in het glas neemt af - het water stijgt" . Op de vervolgvraag: "Wanneer stijgt het water in het glas?" is het antwoord van de leerling duidelijk: "Terwijl de kaars brandt. In het daaropvolgende experiment (met videocamera) wordt echter duidelijk dat het stijgen pas begint als de kaarsvlam afneemt. Zuurstofverbruik kan dus als verklaring worden uitgesloten.</w:t>
      </w:r>
    </w:p>
    <w:p w14:paraId="3AD3C5EE" w14:textId="77777777" w:rsidR="005D0DB3" w:rsidRPr="005D0DB3" w:rsidRDefault="005D0DB3" w:rsidP="005D0DB3"/>
    <w:p w14:paraId="7E6BE69A" w14:textId="77777777" w:rsidR="005D0DB3" w:rsidRPr="005D0DB3" w:rsidRDefault="005D0DB3" w:rsidP="005D0DB3">
      <w:r w:rsidRPr="005D0DB3">
        <w:t>Voor de leerlingen wordt het nu pas echt interessant: "Wat is nu de juiste verklaring?" Onmiddellijk formuleert de klas talrijke vermoedens en stelt verdere experimenten voor. Om het fenomeen in detail te onderzoeken, wordt de klas in groepen verdeeld.</w:t>
      </w:r>
    </w:p>
    <w:p w14:paraId="32A47AD9" w14:textId="77777777" w:rsidR="005D0DB3" w:rsidRDefault="005D0DB3"/>
    <w:p w14:paraId="1C3E9935" w14:textId="7459F4B6" w:rsidR="006648A5" w:rsidRDefault="005D0DB3" w:rsidP="005D0DB3">
      <w:pPr>
        <w:pStyle w:val="Kop1"/>
      </w:pPr>
      <w:r>
        <w:t>Didactiek</w:t>
      </w:r>
    </w:p>
    <w:p w14:paraId="3A0DDD35" w14:textId="011CBC45" w:rsidR="001949AE" w:rsidRDefault="001949AE" w:rsidP="001949AE">
      <w:r>
        <w:t>Aanwijzingen voor in de lerarenopleiding</w:t>
      </w:r>
    </w:p>
    <w:p w14:paraId="466F514C" w14:textId="77777777" w:rsidR="001949AE" w:rsidRPr="001949AE" w:rsidRDefault="001949AE" w:rsidP="001949AE"/>
    <w:p w14:paraId="350DFAC4" w14:textId="77777777" w:rsidR="001949AE" w:rsidRDefault="006648A5" w:rsidP="006648A5">
      <w:r w:rsidRPr="006648A5">
        <w:t xml:space="preserve">Helaas wordt het experiment in experimenteerboeken en zelfs op de televisie vaak verkeerd uitgelegd: "De kaars verbruikt de zuurstof - de luchtdruk in het glas neemt af - het water stijgt". Hieronder volgt een korte uitleg van een effect dat er vooral voor zorgt dat het water stijgt: Wanneer hete lucht wordt afgekoeld, trekt deze samen. Door de afkoeling van de lucht ontstaat een onderdruk in het afgesloten bovenste glas. Het resulterende drukverschil is wat het stijgende water aandrijft. Hoe groter het temperatuurverschil, hoe groter het drukverschil en de daarmee gepaard gaande stijging van het water. Het experiment werkt ook zonder de kaars door een eerder sterk verhit glas snel af te koelen met ijsblokjes.  </w:t>
      </w:r>
    </w:p>
    <w:p w14:paraId="3D38EF72" w14:textId="2DD73B62" w:rsidR="006648A5" w:rsidRPr="006648A5" w:rsidRDefault="006648A5" w:rsidP="006648A5">
      <w:r w:rsidRPr="006648A5">
        <w:lastRenderedPageBreak/>
        <w:t>Verdere effecten die het proces intensiveren (condensatie van waterdamp, oplossen van CO2, ...) zijn te vinden in de gegeven literatuur. Het experiment kan worden gebruikt als inleiding op het onderwerp warmtemotoren.</w:t>
      </w:r>
    </w:p>
    <w:p w14:paraId="0FBF0E38" w14:textId="2EFA602F" w:rsidR="006648A5" w:rsidRDefault="006648A5"/>
    <w:p w14:paraId="5648A584" w14:textId="3C02ACDE" w:rsidR="005D0DB3" w:rsidRDefault="005D0DB3"/>
    <w:p w14:paraId="06B74678" w14:textId="77777777" w:rsidR="005D0DB3" w:rsidRPr="005D0DB3" w:rsidRDefault="005D0DB3" w:rsidP="005D0DB3">
      <w:r w:rsidRPr="005D0DB3">
        <w:t>Voor een gestructureerde aanpak in een groepswerk met een open experimentele opdracht wordt de oriëntatie op de onderzoekscyclus aanbevolen.  De cyclus kan worden gebruikt bij elke experimentele vraag met een open einde. Dit dwingt de leerlingen om hun vaak verwarde hypothesen duidelijk te formuleren en te bespreken in de groep en om overeenkomstige experimenten nauwkeurig te plannen voordat ze worden uitgevoerd. De structuur van de schakeling kan met een werkblad aan de leerlingen worden gegeven. De schakeling dient als hulpmiddel voor leerlingen die weinig vertrouwd zijn met experimentele taken met een open einde. Ervaren klassen kunnen veilig afzien van de methodische begeleiding in kleine stappen.</w:t>
      </w:r>
    </w:p>
    <w:p w14:paraId="4DAE9A69" w14:textId="77777777" w:rsidR="005D0DB3" w:rsidRDefault="005D0DB3"/>
    <w:sectPr w:rsidR="005D0DB3" w:rsidSect="00D97E6C">
      <w:foot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332E5" w14:textId="77777777" w:rsidR="001F79F4" w:rsidRDefault="001F79F4" w:rsidP="00F13689">
      <w:r>
        <w:separator/>
      </w:r>
    </w:p>
  </w:endnote>
  <w:endnote w:type="continuationSeparator" w:id="0">
    <w:p w14:paraId="1D29FE8D" w14:textId="77777777" w:rsidR="001F79F4" w:rsidRDefault="001F79F4" w:rsidP="00F1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F1BB8" w14:textId="77777777" w:rsidR="001949AE" w:rsidRDefault="001949AE"/>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9"/>
      <w:gridCol w:w="2715"/>
      <w:gridCol w:w="1741"/>
      <w:gridCol w:w="1831"/>
    </w:tblGrid>
    <w:tr w:rsidR="0072551A" w:rsidRPr="001949AE" w14:paraId="2A1DF8B6" w14:textId="77777777" w:rsidTr="001949AE">
      <w:tc>
        <w:tcPr>
          <w:tcW w:w="2779" w:type="dxa"/>
        </w:tcPr>
        <w:p w14:paraId="1BF9CA9E" w14:textId="77777777" w:rsidR="00F13689" w:rsidRPr="001949AE" w:rsidRDefault="00F13689" w:rsidP="00F13689">
          <w:pPr>
            <w:pStyle w:val="Voettekst"/>
            <w:jc w:val="center"/>
            <w:rPr>
              <w:noProof/>
              <w:color w:val="BFBFBF" w:themeColor="background1" w:themeShade="BF"/>
              <w:sz w:val="18"/>
              <w:szCs w:val="18"/>
            </w:rPr>
          </w:pPr>
          <w:r w:rsidRPr="001949AE">
            <w:rPr>
              <w:noProof/>
              <w:color w:val="BFBFBF" w:themeColor="background1" w:themeShade="BF"/>
              <w:sz w:val="18"/>
              <w:szCs w:val="18"/>
            </w:rPr>
            <w:t>online STEM</w:t>
          </w:r>
        </w:p>
        <w:p w14:paraId="78220B02" w14:textId="5812FB9C" w:rsidR="00F13689" w:rsidRPr="001949AE" w:rsidRDefault="00F13689" w:rsidP="00F13689">
          <w:pPr>
            <w:pStyle w:val="Voettekst"/>
            <w:jc w:val="center"/>
            <w:rPr>
              <w:noProof/>
              <w:color w:val="BFBFBF" w:themeColor="background1" w:themeShade="BF"/>
              <w:sz w:val="18"/>
              <w:szCs w:val="18"/>
            </w:rPr>
          </w:pPr>
          <w:r w:rsidRPr="001949AE">
            <w:rPr>
              <w:noProof/>
              <w:color w:val="BFBFBF" w:themeColor="background1" w:themeShade="BF"/>
              <w:sz w:val="18"/>
              <w:szCs w:val="18"/>
            </w:rPr>
            <w:t>teaching/learning materials</w:t>
          </w:r>
        </w:p>
      </w:tc>
      <w:tc>
        <w:tcPr>
          <w:tcW w:w="2715" w:type="dxa"/>
          <w:vAlign w:val="center"/>
        </w:tcPr>
        <w:p w14:paraId="20498C90" w14:textId="1CDA274A" w:rsidR="00F13689" w:rsidRPr="001949AE" w:rsidRDefault="00F13689" w:rsidP="00F13689">
          <w:pPr>
            <w:pStyle w:val="Voettekst"/>
            <w:jc w:val="center"/>
            <w:rPr>
              <w:color w:val="BFBFBF" w:themeColor="background1" w:themeShade="BF"/>
              <w:sz w:val="18"/>
              <w:szCs w:val="18"/>
            </w:rPr>
          </w:pPr>
          <w:r w:rsidRPr="001949AE">
            <w:rPr>
              <w:noProof/>
              <w:color w:val="BFBFBF" w:themeColor="background1" w:themeShade="BF"/>
              <w:sz w:val="18"/>
              <w:szCs w:val="18"/>
            </w:rPr>
            <w:drawing>
              <wp:inline distT="0" distB="0" distL="0" distR="0" wp14:anchorId="4D4600A8" wp14:editId="2C7B8883">
                <wp:extent cx="914400" cy="170252"/>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1035741" cy="192845"/>
                        </a:xfrm>
                        <a:prstGeom prst="rect">
                          <a:avLst/>
                        </a:prstGeom>
                      </pic:spPr>
                    </pic:pic>
                  </a:graphicData>
                </a:graphic>
              </wp:inline>
            </w:drawing>
          </w:r>
        </w:p>
      </w:tc>
      <w:tc>
        <w:tcPr>
          <w:tcW w:w="1741" w:type="dxa"/>
          <w:vAlign w:val="center"/>
        </w:tcPr>
        <w:p w14:paraId="3AAA4B7C" w14:textId="22EACEEF" w:rsidR="00F13689" w:rsidRPr="001949AE" w:rsidRDefault="00F13689" w:rsidP="00F13689">
          <w:pPr>
            <w:pStyle w:val="Voettekst"/>
            <w:jc w:val="center"/>
            <w:rPr>
              <w:noProof/>
              <w:color w:val="BFBFBF" w:themeColor="background1" w:themeShade="BF"/>
              <w:sz w:val="18"/>
              <w:szCs w:val="18"/>
            </w:rPr>
          </w:pPr>
          <w:r w:rsidRPr="001949AE">
            <w:rPr>
              <w:noProof/>
              <w:color w:val="BFBFBF" w:themeColor="background1" w:themeShade="BF"/>
              <w:sz w:val="18"/>
              <w:szCs w:val="18"/>
            </w:rPr>
            <w:drawing>
              <wp:inline distT="0" distB="0" distL="0" distR="0" wp14:anchorId="251175E0" wp14:editId="6A2349A0">
                <wp:extent cx="392896" cy="266433"/>
                <wp:effectExtent l="0" t="0" r="1270" b="63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2">
                          <a:extLst>
                            <a:ext uri="{28A0092B-C50C-407E-A947-70E740481C1C}">
                              <a14:useLocalDpi xmlns:a14="http://schemas.microsoft.com/office/drawing/2010/main" val="0"/>
                            </a:ext>
                          </a:extLst>
                        </a:blip>
                        <a:stretch>
                          <a:fillRect/>
                        </a:stretch>
                      </pic:blipFill>
                      <pic:spPr>
                        <a:xfrm>
                          <a:off x="0" y="0"/>
                          <a:ext cx="440103" cy="298445"/>
                        </a:xfrm>
                        <a:prstGeom prst="rect">
                          <a:avLst/>
                        </a:prstGeom>
                      </pic:spPr>
                    </pic:pic>
                  </a:graphicData>
                </a:graphic>
              </wp:inline>
            </w:drawing>
          </w:r>
        </w:p>
      </w:tc>
      <w:tc>
        <w:tcPr>
          <w:tcW w:w="1831" w:type="dxa"/>
          <w:vAlign w:val="center"/>
        </w:tcPr>
        <w:p w14:paraId="40A236D2" w14:textId="5FCF1326" w:rsidR="00F13689" w:rsidRPr="001949AE" w:rsidRDefault="00F13689" w:rsidP="00F13689">
          <w:pPr>
            <w:pStyle w:val="Voettekst"/>
            <w:jc w:val="center"/>
            <w:rPr>
              <w:color w:val="BFBFBF" w:themeColor="background1" w:themeShade="BF"/>
              <w:sz w:val="18"/>
              <w:szCs w:val="18"/>
            </w:rPr>
          </w:pPr>
          <w:r w:rsidRPr="001949AE">
            <w:rPr>
              <w:noProof/>
              <w:color w:val="BFBFBF" w:themeColor="background1" w:themeShade="BF"/>
              <w:sz w:val="18"/>
              <w:szCs w:val="18"/>
            </w:rPr>
            <w:drawing>
              <wp:inline distT="0" distB="0" distL="0" distR="0" wp14:anchorId="486198F9" wp14:editId="72493A4E">
                <wp:extent cx="421106" cy="421106"/>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3">
                          <a:extLst>
                            <a:ext uri="{28A0092B-C50C-407E-A947-70E740481C1C}">
                              <a14:useLocalDpi xmlns:a14="http://schemas.microsoft.com/office/drawing/2010/main" val="0"/>
                            </a:ext>
                          </a:extLst>
                        </a:blip>
                        <a:stretch>
                          <a:fillRect/>
                        </a:stretch>
                      </pic:blipFill>
                      <pic:spPr>
                        <a:xfrm>
                          <a:off x="0" y="0"/>
                          <a:ext cx="441680" cy="441680"/>
                        </a:xfrm>
                        <a:prstGeom prst="rect">
                          <a:avLst/>
                        </a:prstGeom>
                      </pic:spPr>
                    </pic:pic>
                  </a:graphicData>
                </a:graphic>
              </wp:inline>
            </w:drawing>
          </w:r>
          <w:r w:rsidRPr="001949AE">
            <w:rPr>
              <w:color w:val="BFBFBF" w:themeColor="background1" w:themeShade="BF"/>
              <w:sz w:val="18"/>
              <w:szCs w:val="18"/>
            </w:rPr>
            <w:t xml:space="preserve"> </w:t>
          </w:r>
        </w:p>
      </w:tc>
    </w:tr>
    <w:tr w:rsidR="0072551A" w:rsidRPr="001949AE" w14:paraId="1E423F53" w14:textId="77777777" w:rsidTr="001949AE">
      <w:tc>
        <w:tcPr>
          <w:tcW w:w="2779" w:type="dxa"/>
        </w:tcPr>
        <w:p w14:paraId="13C4A896" w14:textId="2198B669" w:rsidR="00F13689" w:rsidRPr="001949AE" w:rsidRDefault="00F13689" w:rsidP="00F13689">
          <w:pPr>
            <w:rPr>
              <w:rFonts w:ascii="Verdana" w:hAnsi="Verdana" w:cs="Verdana"/>
              <w:color w:val="BFBFBF" w:themeColor="background1" w:themeShade="BF"/>
              <w:sz w:val="18"/>
              <w:szCs w:val="18"/>
            </w:rPr>
          </w:pPr>
          <w:r w:rsidRPr="001949AE">
            <w:rPr>
              <w:rFonts w:ascii="Verdana" w:hAnsi="Verdana" w:cs="Verdana"/>
              <w:color w:val="BFBFBF" w:themeColor="background1" w:themeShade="BF"/>
              <w:sz w:val="18"/>
              <w:szCs w:val="18"/>
            </w:rPr>
            <w:t>fi.uu.nl/toepassingen/29070</w:t>
          </w:r>
        </w:p>
      </w:tc>
      <w:tc>
        <w:tcPr>
          <w:tcW w:w="2715" w:type="dxa"/>
          <w:vAlign w:val="center"/>
        </w:tcPr>
        <w:p w14:paraId="2947F128" w14:textId="226BE21C" w:rsidR="00F13689" w:rsidRPr="001949AE" w:rsidRDefault="00F13689" w:rsidP="00F13689">
          <w:pPr>
            <w:pStyle w:val="Voettekst"/>
            <w:jc w:val="center"/>
            <w:rPr>
              <w:noProof/>
              <w:color w:val="BFBFBF" w:themeColor="background1" w:themeShade="BF"/>
              <w:sz w:val="18"/>
              <w:szCs w:val="18"/>
            </w:rPr>
          </w:pPr>
        </w:p>
      </w:tc>
      <w:tc>
        <w:tcPr>
          <w:tcW w:w="1741" w:type="dxa"/>
          <w:vAlign w:val="center"/>
        </w:tcPr>
        <w:p w14:paraId="47FB6419" w14:textId="0AE8AFC3" w:rsidR="00F13689" w:rsidRPr="001949AE" w:rsidRDefault="0072551A" w:rsidP="00F13689">
          <w:pPr>
            <w:pStyle w:val="Voettekst"/>
            <w:jc w:val="center"/>
            <w:rPr>
              <w:noProof/>
              <w:color w:val="BFBFBF" w:themeColor="background1" w:themeShade="BF"/>
              <w:sz w:val="18"/>
              <w:szCs w:val="18"/>
            </w:rPr>
          </w:pPr>
          <w:r w:rsidRPr="001949AE">
            <w:rPr>
              <w:noProof/>
              <w:color w:val="BFBFBF" w:themeColor="background1" w:themeShade="BF"/>
              <w:sz w:val="18"/>
              <w:szCs w:val="18"/>
            </w:rPr>
            <w:t>EU supported</w:t>
          </w:r>
        </w:p>
      </w:tc>
      <w:tc>
        <w:tcPr>
          <w:tcW w:w="1831" w:type="dxa"/>
          <w:vAlign w:val="center"/>
        </w:tcPr>
        <w:p w14:paraId="123BE163" w14:textId="0B00325C" w:rsidR="00F13689" w:rsidRPr="001949AE" w:rsidRDefault="00F13689" w:rsidP="00F13689">
          <w:pPr>
            <w:pStyle w:val="Voettekst"/>
            <w:jc w:val="center"/>
            <w:rPr>
              <w:noProof/>
              <w:color w:val="BFBFBF" w:themeColor="background1" w:themeShade="BF"/>
              <w:sz w:val="18"/>
              <w:szCs w:val="18"/>
            </w:rPr>
          </w:pPr>
          <w:r w:rsidRPr="001949AE">
            <w:rPr>
              <w:noProof/>
              <w:color w:val="BFBFBF" w:themeColor="background1" w:themeShade="BF"/>
              <w:sz w:val="18"/>
              <w:szCs w:val="18"/>
            </w:rPr>
            <w:t>icse.eu</w:t>
          </w:r>
        </w:p>
      </w:tc>
    </w:tr>
  </w:tbl>
  <w:p w14:paraId="4D8FACC8" w14:textId="77777777" w:rsidR="00F13689" w:rsidRPr="001949AE" w:rsidRDefault="00F13689">
    <w:pPr>
      <w:pStyle w:val="Voettekst"/>
      <w:rPr>
        <w:color w:val="BFBFBF" w:themeColor="background1" w:themeShade="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83014" w14:textId="77777777" w:rsidR="001F79F4" w:rsidRDefault="001F79F4" w:rsidP="00F13689">
      <w:r>
        <w:separator/>
      </w:r>
    </w:p>
  </w:footnote>
  <w:footnote w:type="continuationSeparator" w:id="0">
    <w:p w14:paraId="17C1D16A" w14:textId="77777777" w:rsidR="001F79F4" w:rsidRDefault="001F79F4" w:rsidP="00F136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8A5"/>
    <w:rsid w:val="00000E37"/>
    <w:rsid w:val="00001A9D"/>
    <w:rsid w:val="00011F6D"/>
    <w:rsid w:val="00027452"/>
    <w:rsid w:val="00033032"/>
    <w:rsid w:val="00034329"/>
    <w:rsid w:val="000443BD"/>
    <w:rsid w:val="00066516"/>
    <w:rsid w:val="00080A83"/>
    <w:rsid w:val="000954C8"/>
    <w:rsid w:val="00096F8E"/>
    <w:rsid w:val="000B01B6"/>
    <w:rsid w:val="000B05C4"/>
    <w:rsid w:val="000B19B3"/>
    <w:rsid w:val="000C6214"/>
    <w:rsid w:val="000E5539"/>
    <w:rsid w:val="000F5D9F"/>
    <w:rsid w:val="00106DE4"/>
    <w:rsid w:val="0011712F"/>
    <w:rsid w:val="00117937"/>
    <w:rsid w:val="00117A5B"/>
    <w:rsid w:val="001252DB"/>
    <w:rsid w:val="00126C8D"/>
    <w:rsid w:val="00127842"/>
    <w:rsid w:val="00147C40"/>
    <w:rsid w:val="0015237A"/>
    <w:rsid w:val="00174BB0"/>
    <w:rsid w:val="001761BD"/>
    <w:rsid w:val="001772BA"/>
    <w:rsid w:val="00185F0B"/>
    <w:rsid w:val="001949AE"/>
    <w:rsid w:val="001B7979"/>
    <w:rsid w:val="001D0E38"/>
    <w:rsid w:val="001D66D6"/>
    <w:rsid w:val="001D7C94"/>
    <w:rsid w:val="001E1DC7"/>
    <w:rsid w:val="001E22D5"/>
    <w:rsid w:val="001F239C"/>
    <w:rsid w:val="001F79F4"/>
    <w:rsid w:val="00201189"/>
    <w:rsid w:val="00202373"/>
    <w:rsid w:val="00204418"/>
    <w:rsid w:val="00204698"/>
    <w:rsid w:val="00206AD1"/>
    <w:rsid w:val="00231C04"/>
    <w:rsid w:val="0023372C"/>
    <w:rsid w:val="002353CC"/>
    <w:rsid w:val="00240822"/>
    <w:rsid w:val="00255741"/>
    <w:rsid w:val="00290588"/>
    <w:rsid w:val="002A2361"/>
    <w:rsid w:val="002A40DD"/>
    <w:rsid w:val="002C101E"/>
    <w:rsid w:val="002C41F3"/>
    <w:rsid w:val="002D4B95"/>
    <w:rsid w:val="002D7656"/>
    <w:rsid w:val="002E4FEF"/>
    <w:rsid w:val="002E6546"/>
    <w:rsid w:val="003049DF"/>
    <w:rsid w:val="00307184"/>
    <w:rsid w:val="00321919"/>
    <w:rsid w:val="00322F7D"/>
    <w:rsid w:val="00333579"/>
    <w:rsid w:val="003378C5"/>
    <w:rsid w:val="00364478"/>
    <w:rsid w:val="003672CD"/>
    <w:rsid w:val="003760C0"/>
    <w:rsid w:val="00376DA4"/>
    <w:rsid w:val="00383CD2"/>
    <w:rsid w:val="00384E1A"/>
    <w:rsid w:val="00393006"/>
    <w:rsid w:val="003A12C3"/>
    <w:rsid w:val="003A3056"/>
    <w:rsid w:val="003B4136"/>
    <w:rsid w:val="003D2513"/>
    <w:rsid w:val="003D3D63"/>
    <w:rsid w:val="003E0295"/>
    <w:rsid w:val="003E081E"/>
    <w:rsid w:val="003E75B9"/>
    <w:rsid w:val="003F6DC2"/>
    <w:rsid w:val="004000FA"/>
    <w:rsid w:val="00402A6F"/>
    <w:rsid w:val="00403FF7"/>
    <w:rsid w:val="00407597"/>
    <w:rsid w:val="00432B58"/>
    <w:rsid w:val="0044303D"/>
    <w:rsid w:val="00452DF3"/>
    <w:rsid w:val="00453A45"/>
    <w:rsid w:val="00456A08"/>
    <w:rsid w:val="00457525"/>
    <w:rsid w:val="00460485"/>
    <w:rsid w:val="004626B2"/>
    <w:rsid w:val="00463DEB"/>
    <w:rsid w:val="00470043"/>
    <w:rsid w:val="00470EB3"/>
    <w:rsid w:val="00472206"/>
    <w:rsid w:val="00475B5E"/>
    <w:rsid w:val="00493421"/>
    <w:rsid w:val="004B76FF"/>
    <w:rsid w:val="004C1FB8"/>
    <w:rsid w:val="004D3450"/>
    <w:rsid w:val="004E3E5D"/>
    <w:rsid w:val="00515930"/>
    <w:rsid w:val="00524C79"/>
    <w:rsid w:val="00531DD5"/>
    <w:rsid w:val="00532F09"/>
    <w:rsid w:val="00536CB3"/>
    <w:rsid w:val="005371FB"/>
    <w:rsid w:val="00547973"/>
    <w:rsid w:val="00556210"/>
    <w:rsid w:val="00557561"/>
    <w:rsid w:val="005628AB"/>
    <w:rsid w:val="00565518"/>
    <w:rsid w:val="00574F50"/>
    <w:rsid w:val="00593F2D"/>
    <w:rsid w:val="00596054"/>
    <w:rsid w:val="005970CF"/>
    <w:rsid w:val="005D0DB3"/>
    <w:rsid w:val="005D3BDF"/>
    <w:rsid w:val="005E0E1B"/>
    <w:rsid w:val="005E3426"/>
    <w:rsid w:val="005F6ACC"/>
    <w:rsid w:val="00615A02"/>
    <w:rsid w:val="00645C76"/>
    <w:rsid w:val="00654726"/>
    <w:rsid w:val="00656A1E"/>
    <w:rsid w:val="00664074"/>
    <w:rsid w:val="006648A5"/>
    <w:rsid w:val="006C7A49"/>
    <w:rsid w:val="006D0FC8"/>
    <w:rsid w:val="006E4650"/>
    <w:rsid w:val="006F01EF"/>
    <w:rsid w:val="006F230F"/>
    <w:rsid w:val="006F7EB7"/>
    <w:rsid w:val="00707892"/>
    <w:rsid w:val="007138D4"/>
    <w:rsid w:val="0072551A"/>
    <w:rsid w:val="0074184C"/>
    <w:rsid w:val="00747C34"/>
    <w:rsid w:val="00751DC5"/>
    <w:rsid w:val="00760D05"/>
    <w:rsid w:val="007618C1"/>
    <w:rsid w:val="00773AAF"/>
    <w:rsid w:val="007805BF"/>
    <w:rsid w:val="00792A74"/>
    <w:rsid w:val="007A6E48"/>
    <w:rsid w:val="007B0148"/>
    <w:rsid w:val="007C6715"/>
    <w:rsid w:val="007E6EBD"/>
    <w:rsid w:val="007F2058"/>
    <w:rsid w:val="008036FC"/>
    <w:rsid w:val="00804BB0"/>
    <w:rsid w:val="00817BFC"/>
    <w:rsid w:val="00843026"/>
    <w:rsid w:val="00843230"/>
    <w:rsid w:val="008679EF"/>
    <w:rsid w:val="0087044E"/>
    <w:rsid w:val="00885BFF"/>
    <w:rsid w:val="00891650"/>
    <w:rsid w:val="008A632A"/>
    <w:rsid w:val="008B0586"/>
    <w:rsid w:val="008C384A"/>
    <w:rsid w:val="008D7937"/>
    <w:rsid w:val="008F6955"/>
    <w:rsid w:val="00903846"/>
    <w:rsid w:val="00910173"/>
    <w:rsid w:val="00927BFB"/>
    <w:rsid w:val="00935D89"/>
    <w:rsid w:val="00952249"/>
    <w:rsid w:val="009660DD"/>
    <w:rsid w:val="00973F56"/>
    <w:rsid w:val="009D6D84"/>
    <w:rsid w:val="009F72D0"/>
    <w:rsid w:val="00A02400"/>
    <w:rsid w:val="00A06BCD"/>
    <w:rsid w:val="00A30CD8"/>
    <w:rsid w:val="00A3764A"/>
    <w:rsid w:val="00A40B48"/>
    <w:rsid w:val="00A46982"/>
    <w:rsid w:val="00A8149D"/>
    <w:rsid w:val="00A84749"/>
    <w:rsid w:val="00A96B92"/>
    <w:rsid w:val="00AB115D"/>
    <w:rsid w:val="00AB2617"/>
    <w:rsid w:val="00AC7993"/>
    <w:rsid w:val="00AE598A"/>
    <w:rsid w:val="00B044D8"/>
    <w:rsid w:val="00B3070E"/>
    <w:rsid w:val="00B31860"/>
    <w:rsid w:val="00B62B9E"/>
    <w:rsid w:val="00B6699E"/>
    <w:rsid w:val="00B77FD6"/>
    <w:rsid w:val="00BB1BAD"/>
    <w:rsid w:val="00BE1A3D"/>
    <w:rsid w:val="00BE38EC"/>
    <w:rsid w:val="00BF4F7F"/>
    <w:rsid w:val="00BF74AC"/>
    <w:rsid w:val="00BF78D4"/>
    <w:rsid w:val="00C05863"/>
    <w:rsid w:val="00C1069C"/>
    <w:rsid w:val="00C512C1"/>
    <w:rsid w:val="00C52D27"/>
    <w:rsid w:val="00C60462"/>
    <w:rsid w:val="00C61656"/>
    <w:rsid w:val="00C6643A"/>
    <w:rsid w:val="00C842A5"/>
    <w:rsid w:val="00C84D25"/>
    <w:rsid w:val="00C972B2"/>
    <w:rsid w:val="00CA1BCC"/>
    <w:rsid w:val="00D1007D"/>
    <w:rsid w:val="00D3306C"/>
    <w:rsid w:val="00D42CFE"/>
    <w:rsid w:val="00D43EFF"/>
    <w:rsid w:val="00D51F01"/>
    <w:rsid w:val="00D600F2"/>
    <w:rsid w:val="00D64027"/>
    <w:rsid w:val="00D708EB"/>
    <w:rsid w:val="00D71C4B"/>
    <w:rsid w:val="00D80B01"/>
    <w:rsid w:val="00D82D6F"/>
    <w:rsid w:val="00D97E6C"/>
    <w:rsid w:val="00DD4841"/>
    <w:rsid w:val="00DE7186"/>
    <w:rsid w:val="00DF418F"/>
    <w:rsid w:val="00DF4C18"/>
    <w:rsid w:val="00E07EE8"/>
    <w:rsid w:val="00E324DA"/>
    <w:rsid w:val="00E37E9F"/>
    <w:rsid w:val="00E423F5"/>
    <w:rsid w:val="00E43C5C"/>
    <w:rsid w:val="00E513E0"/>
    <w:rsid w:val="00EA00EA"/>
    <w:rsid w:val="00EA0A83"/>
    <w:rsid w:val="00EB11E5"/>
    <w:rsid w:val="00EC7D7C"/>
    <w:rsid w:val="00ED1010"/>
    <w:rsid w:val="00EE0AF3"/>
    <w:rsid w:val="00EE206E"/>
    <w:rsid w:val="00EF1466"/>
    <w:rsid w:val="00F00D3F"/>
    <w:rsid w:val="00F04E16"/>
    <w:rsid w:val="00F10108"/>
    <w:rsid w:val="00F10FAB"/>
    <w:rsid w:val="00F11481"/>
    <w:rsid w:val="00F13689"/>
    <w:rsid w:val="00F24EEF"/>
    <w:rsid w:val="00F3084E"/>
    <w:rsid w:val="00F31178"/>
    <w:rsid w:val="00F41791"/>
    <w:rsid w:val="00F45269"/>
    <w:rsid w:val="00F46803"/>
    <w:rsid w:val="00F54F6B"/>
    <w:rsid w:val="00F55FB7"/>
    <w:rsid w:val="00F62907"/>
    <w:rsid w:val="00F65F9E"/>
    <w:rsid w:val="00F96DEC"/>
    <w:rsid w:val="00FA78F9"/>
    <w:rsid w:val="00FC355F"/>
    <w:rsid w:val="00FD18F2"/>
    <w:rsid w:val="00FD313D"/>
    <w:rsid w:val="00FD6654"/>
    <w:rsid w:val="00FF4D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F707D46"/>
  <w15:chartTrackingRefBased/>
  <w15:docId w15:val="{902952BB-B9E6-234A-B552-40D0C35D4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D0DB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D0DB3"/>
    <w:rPr>
      <w:rFonts w:asciiTheme="majorHAnsi" w:eastAsiaTheme="majorEastAsia" w:hAnsiTheme="majorHAnsi" w:cstheme="majorBidi"/>
      <w:color w:val="2F5496" w:themeColor="accent1" w:themeShade="BF"/>
      <w:sz w:val="32"/>
      <w:szCs w:val="32"/>
    </w:rPr>
  </w:style>
  <w:style w:type="paragraph" w:styleId="Titel">
    <w:name w:val="Title"/>
    <w:basedOn w:val="Standaard"/>
    <w:next w:val="Standaard"/>
    <w:link w:val="TitelChar"/>
    <w:uiPriority w:val="10"/>
    <w:qFormat/>
    <w:rsid w:val="005D0DB3"/>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D0DB3"/>
    <w:rPr>
      <w:rFonts w:asciiTheme="majorHAnsi" w:eastAsiaTheme="majorEastAsia" w:hAnsiTheme="majorHAnsi" w:cstheme="majorBidi"/>
      <w:spacing w:val="-10"/>
      <w:kern w:val="28"/>
      <w:sz w:val="56"/>
      <w:szCs w:val="56"/>
    </w:rPr>
  </w:style>
  <w:style w:type="paragraph" w:styleId="Koptekst">
    <w:name w:val="header"/>
    <w:basedOn w:val="Standaard"/>
    <w:link w:val="KoptekstChar"/>
    <w:uiPriority w:val="99"/>
    <w:unhideWhenUsed/>
    <w:rsid w:val="00F13689"/>
    <w:pPr>
      <w:tabs>
        <w:tab w:val="center" w:pos="4536"/>
        <w:tab w:val="right" w:pos="9072"/>
      </w:tabs>
    </w:pPr>
  </w:style>
  <w:style w:type="character" w:customStyle="1" w:styleId="KoptekstChar">
    <w:name w:val="Koptekst Char"/>
    <w:basedOn w:val="Standaardalinea-lettertype"/>
    <w:link w:val="Koptekst"/>
    <w:uiPriority w:val="99"/>
    <w:rsid w:val="00F13689"/>
  </w:style>
  <w:style w:type="paragraph" w:styleId="Voettekst">
    <w:name w:val="footer"/>
    <w:basedOn w:val="Standaard"/>
    <w:link w:val="VoettekstChar"/>
    <w:uiPriority w:val="99"/>
    <w:unhideWhenUsed/>
    <w:rsid w:val="00F13689"/>
    <w:pPr>
      <w:tabs>
        <w:tab w:val="center" w:pos="4536"/>
        <w:tab w:val="right" w:pos="9072"/>
      </w:tabs>
    </w:pPr>
  </w:style>
  <w:style w:type="character" w:customStyle="1" w:styleId="VoettekstChar">
    <w:name w:val="Voettekst Char"/>
    <w:basedOn w:val="Standaardalinea-lettertype"/>
    <w:link w:val="Voettekst"/>
    <w:uiPriority w:val="99"/>
    <w:rsid w:val="00F13689"/>
  </w:style>
  <w:style w:type="table" w:styleId="Tabelraster">
    <w:name w:val="Table Grid"/>
    <w:basedOn w:val="Standaardtabel"/>
    <w:uiPriority w:val="39"/>
    <w:rsid w:val="00F13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879740">
      <w:bodyDiv w:val="1"/>
      <w:marLeft w:val="0"/>
      <w:marRight w:val="0"/>
      <w:marTop w:val="0"/>
      <w:marBottom w:val="0"/>
      <w:divBdr>
        <w:top w:val="none" w:sz="0" w:space="0" w:color="auto"/>
        <w:left w:val="none" w:sz="0" w:space="0" w:color="auto"/>
        <w:bottom w:val="none" w:sz="0" w:space="0" w:color="auto"/>
        <w:right w:val="none" w:sz="0" w:space="0" w:color="auto"/>
      </w:divBdr>
    </w:div>
    <w:div w:id="1312901982">
      <w:bodyDiv w:val="1"/>
      <w:marLeft w:val="0"/>
      <w:marRight w:val="0"/>
      <w:marTop w:val="0"/>
      <w:marBottom w:val="0"/>
      <w:divBdr>
        <w:top w:val="none" w:sz="0" w:space="0" w:color="auto"/>
        <w:left w:val="none" w:sz="0" w:space="0" w:color="auto"/>
        <w:bottom w:val="none" w:sz="0" w:space="0" w:color="auto"/>
        <w:right w:val="none" w:sz="0" w:space="0" w:color="auto"/>
      </w:divBdr>
    </w:div>
    <w:div w:id="189589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449</Words>
  <Characters>2470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Jonker, V.H. (Vincent)</dc:creator>
  <cp:keywords/>
  <dc:description/>
  <cp:lastModifiedBy>Jonker, V.H. (Vincent)</cp:lastModifiedBy>
  <cp:revision>2</cp:revision>
  <dcterms:created xsi:type="dcterms:W3CDTF">2022-07-25T07:48:00Z</dcterms:created>
  <dcterms:modified xsi:type="dcterms:W3CDTF">2022-07-25T08:05:00Z</dcterms:modified>
</cp:coreProperties>
</file>