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CB" w:rsidRDefault="00BB7FCB">
      <w:pPr>
        <w:rPr>
          <w:b/>
          <w:sz w:val="28"/>
          <w:szCs w:val="28"/>
        </w:rPr>
      </w:pPr>
      <w:r w:rsidRPr="00BB7FCB">
        <w:rPr>
          <w:b/>
          <w:sz w:val="28"/>
          <w:szCs w:val="28"/>
        </w:rPr>
        <w:t>Derving</w:t>
      </w:r>
    </w:p>
    <w:tbl>
      <w:tblPr>
        <w:tblStyle w:val="Tabelraster"/>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650"/>
      </w:tblGrid>
      <w:tr w:rsidR="0007274C" w:rsidTr="0007274C">
        <w:trPr>
          <w:trHeight w:val="2800"/>
        </w:trPr>
        <w:tc>
          <w:tcPr>
            <w:tcW w:w="4951" w:type="dxa"/>
          </w:tcPr>
          <w:p w:rsidR="00633B2E" w:rsidRPr="00784F1D" w:rsidRDefault="00633B2E" w:rsidP="00633B2E">
            <w:pPr>
              <w:rPr>
                <w:rFonts w:cstheme="minorHAnsi"/>
                <w:color w:val="222233"/>
                <w:sz w:val="24"/>
                <w:szCs w:val="24"/>
              </w:rPr>
            </w:pPr>
          </w:p>
          <w:p w:rsidR="00633B2E" w:rsidRPr="00043E10" w:rsidRDefault="00633B2E" w:rsidP="00633B2E">
            <w:pPr>
              <w:spacing w:line="276" w:lineRule="auto"/>
              <w:rPr>
                <w:rFonts w:cstheme="minorHAnsi"/>
                <w:color w:val="222233"/>
                <w:sz w:val="24"/>
                <w:szCs w:val="24"/>
                <w:lang w:val="en-US"/>
              </w:rPr>
            </w:pPr>
            <w:r w:rsidRPr="00784F1D">
              <w:rPr>
                <w:rFonts w:cstheme="minorHAnsi"/>
                <w:color w:val="222233"/>
                <w:sz w:val="24"/>
                <w:szCs w:val="24"/>
              </w:rPr>
              <w:t>Als</w:t>
            </w:r>
            <w:r w:rsidRPr="007341D0">
              <w:rPr>
                <w:rFonts w:cstheme="minorHAnsi"/>
                <w:color w:val="222233"/>
                <w:sz w:val="24"/>
                <w:szCs w:val="24"/>
              </w:rPr>
              <w:t xml:space="preserve"> artikelen</w:t>
            </w:r>
            <w:r w:rsidRPr="00043E10">
              <w:rPr>
                <w:rFonts w:cstheme="minorHAnsi"/>
                <w:color w:val="222233"/>
                <w:sz w:val="24"/>
                <w:szCs w:val="24"/>
                <w:lang w:val="en-US"/>
              </w:rPr>
              <w:t xml:space="preserve"> niet kunnen worden verkocht en de winkelier dus geld verliest, dan noemen we dat </w:t>
            </w:r>
            <w:r w:rsidRPr="00043E10">
              <w:rPr>
                <w:rFonts w:cstheme="minorHAnsi"/>
                <w:b/>
                <w:color w:val="222233"/>
                <w:sz w:val="24"/>
                <w:szCs w:val="24"/>
                <w:lang w:val="en-US"/>
              </w:rPr>
              <w:t>derving</w:t>
            </w:r>
            <w:r>
              <w:rPr>
                <w:rFonts w:cstheme="minorHAnsi"/>
                <w:color w:val="222233"/>
                <w:sz w:val="24"/>
                <w:szCs w:val="24"/>
                <w:lang w:val="en-US"/>
              </w:rPr>
              <w:t>. Dat</w:t>
            </w:r>
            <w:r w:rsidRPr="00043E10">
              <w:rPr>
                <w:rFonts w:cstheme="minorHAnsi"/>
                <w:color w:val="222233"/>
                <w:sz w:val="24"/>
                <w:szCs w:val="24"/>
                <w:lang w:val="en-US"/>
              </w:rPr>
              <w:t xml:space="preserve"> is het verschil tussen de administratieve en werkelijke voorraad en het ontstaat door bijvoorbee</w:t>
            </w:r>
            <w:r>
              <w:rPr>
                <w:rFonts w:cstheme="minorHAnsi"/>
                <w:color w:val="222233"/>
                <w:sz w:val="24"/>
                <w:szCs w:val="24"/>
                <w:lang w:val="en-US"/>
              </w:rPr>
              <w:t>ld veroudering, beschadiging, bederf of diefstal……</w:t>
            </w:r>
          </w:p>
          <w:p w:rsidR="00633B2E" w:rsidRDefault="00633B2E">
            <w:pPr>
              <w:rPr>
                <w:b/>
                <w:sz w:val="28"/>
                <w:szCs w:val="28"/>
              </w:rPr>
            </w:pPr>
          </w:p>
        </w:tc>
        <w:tc>
          <w:tcPr>
            <w:tcW w:w="4650" w:type="dxa"/>
          </w:tcPr>
          <w:p w:rsidR="00633B2E" w:rsidRDefault="00633B2E">
            <w:pPr>
              <w:rPr>
                <w:b/>
                <w:sz w:val="28"/>
                <w:szCs w:val="28"/>
              </w:rPr>
            </w:pPr>
            <w:r>
              <w:rPr>
                <w:noProof/>
                <w:color w:val="0000FF"/>
                <w:lang w:eastAsia="nl-NL"/>
              </w:rPr>
              <w:t xml:space="preserve">             </w:t>
            </w:r>
            <w:r w:rsidR="0007274C">
              <w:rPr>
                <w:noProof/>
                <w:color w:val="0000FF"/>
                <w:lang w:eastAsia="nl-NL"/>
              </w:rPr>
              <w:drawing>
                <wp:inline distT="0" distB="0" distL="0" distR="0" wp14:anchorId="730CC904" wp14:editId="4C88A4E0">
                  <wp:extent cx="2464424" cy="1549400"/>
                  <wp:effectExtent l="0" t="0" r="0" b="0"/>
                  <wp:docPr id="1" name="irc_mi" descr="Afbeeldingsresultaat voor derving ag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erving agf">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471" cy="1551944"/>
                          </a:xfrm>
                          <a:prstGeom prst="rect">
                            <a:avLst/>
                          </a:prstGeom>
                          <a:noFill/>
                          <a:ln>
                            <a:noFill/>
                          </a:ln>
                        </pic:spPr>
                      </pic:pic>
                    </a:graphicData>
                  </a:graphic>
                </wp:inline>
              </w:drawing>
            </w:r>
          </w:p>
        </w:tc>
      </w:tr>
    </w:tbl>
    <w:p w:rsidR="00633B2E" w:rsidRPr="00BB7FCB" w:rsidRDefault="00633B2E">
      <w:pPr>
        <w:rPr>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BB7FCB" w:rsidRPr="00BB7FCB">
        <w:trPr>
          <w:tblCellSpacing w:w="15" w:type="dxa"/>
        </w:trPr>
        <w:tc>
          <w:tcPr>
            <w:tcW w:w="0" w:type="auto"/>
            <w:vAlign w:val="center"/>
            <w:hideMark/>
          </w:tcPr>
          <w:p w:rsidR="0007274C" w:rsidRDefault="00BB7FCB" w:rsidP="00BB7FCB">
            <w:pPr>
              <w:rPr>
                <w:rFonts w:cstheme="minorHAnsi"/>
                <w:color w:val="222233"/>
                <w:sz w:val="24"/>
                <w:szCs w:val="24"/>
                <w:lang w:val="en-US"/>
              </w:rPr>
            </w:pPr>
            <w:r w:rsidRPr="00043E10">
              <w:rPr>
                <w:rFonts w:cstheme="minorHAnsi"/>
                <w:color w:val="222233"/>
                <w:sz w:val="24"/>
                <w:szCs w:val="24"/>
                <w:lang w:val="en-US"/>
              </w:rPr>
              <w:t xml:space="preserve">Het loont de moeite bij te houden wat je dagelijks of wekelijks </w:t>
            </w:r>
            <w:r w:rsidR="00043E10" w:rsidRPr="00043E10">
              <w:rPr>
                <w:rFonts w:cstheme="minorHAnsi"/>
                <w:color w:val="222233"/>
                <w:sz w:val="24"/>
                <w:szCs w:val="24"/>
                <w:lang w:val="en-US"/>
              </w:rPr>
              <w:t xml:space="preserve">weggooit aan producten. Hieruit kun je op termijn opmaken wat </w:t>
            </w:r>
            <w:r w:rsidR="00043E10">
              <w:rPr>
                <w:rFonts w:cstheme="minorHAnsi"/>
                <w:color w:val="222233"/>
                <w:sz w:val="24"/>
                <w:szCs w:val="24"/>
                <w:lang w:val="en-US"/>
              </w:rPr>
              <w:t>er</w:t>
            </w:r>
            <w:r w:rsidR="00043E10" w:rsidRPr="00043E10">
              <w:rPr>
                <w:rFonts w:cstheme="minorHAnsi"/>
                <w:color w:val="222233"/>
                <w:sz w:val="24"/>
                <w:szCs w:val="24"/>
                <w:lang w:val="en-US"/>
              </w:rPr>
              <w:t xml:space="preserve"> </w:t>
            </w:r>
            <w:r w:rsidR="00043E10">
              <w:rPr>
                <w:rFonts w:cstheme="minorHAnsi"/>
                <w:color w:val="222233"/>
                <w:sz w:val="24"/>
                <w:szCs w:val="24"/>
                <w:lang w:val="en-US"/>
              </w:rPr>
              <w:t>a</w:t>
            </w:r>
            <w:r w:rsidR="00043E10" w:rsidRPr="00043E10">
              <w:rPr>
                <w:rFonts w:cstheme="minorHAnsi"/>
                <w:color w:val="222233"/>
                <w:sz w:val="24"/>
                <w:szCs w:val="24"/>
                <w:lang w:val="en-US"/>
              </w:rPr>
              <w:t>an de hand is met de producten die je weggooit; h</w:t>
            </w:r>
            <w:r w:rsidR="00043E10">
              <w:rPr>
                <w:rFonts w:cstheme="minorHAnsi"/>
                <w:color w:val="222233"/>
                <w:sz w:val="24"/>
                <w:szCs w:val="24"/>
                <w:lang w:val="en-US"/>
              </w:rPr>
              <w:t>eb je teveel van iets ingekocht en moest je het om die reden weggooien?</w:t>
            </w:r>
            <w:r w:rsidR="00043E10" w:rsidRPr="00043E10">
              <w:rPr>
                <w:rFonts w:cstheme="minorHAnsi"/>
                <w:color w:val="222233"/>
                <w:sz w:val="24"/>
                <w:szCs w:val="24"/>
                <w:lang w:val="en-US"/>
              </w:rPr>
              <w:t xml:space="preserve"> In dat ge</w:t>
            </w:r>
            <w:r w:rsidR="00043E10">
              <w:rPr>
                <w:rFonts w:cstheme="minorHAnsi"/>
                <w:color w:val="222233"/>
                <w:sz w:val="24"/>
                <w:szCs w:val="24"/>
                <w:lang w:val="en-US"/>
              </w:rPr>
              <w:t>val kun je de inkoop misschien aanpassen en zorgen dat je voorraad beter op peil blijft. Bij een optima</w:t>
            </w:r>
            <w:r w:rsidR="00B453EC">
              <w:rPr>
                <w:rFonts w:cstheme="minorHAnsi"/>
                <w:color w:val="222233"/>
                <w:sz w:val="24"/>
                <w:szCs w:val="24"/>
                <w:lang w:val="en-US"/>
              </w:rPr>
              <w:t>a</w:t>
            </w:r>
            <w:r w:rsidR="00043E10">
              <w:rPr>
                <w:rFonts w:cstheme="minorHAnsi"/>
                <w:color w:val="222233"/>
                <w:sz w:val="24"/>
                <w:szCs w:val="24"/>
                <w:lang w:val="en-US"/>
              </w:rPr>
              <w:t xml:space="preserve">l voorraadbeheer blijven de </w:t>
            </w:r>
            <w:r w:rsidR="00043E10" w:rsidRPr="00B453EC">
              <w:rPr>
                <w:rFonts w:cstheme="minorHAnsi"/>
                <w:b/>
                <w:color w:val="222233"/>
                <w:sz w:val="24"/>
                <w:szCs w:val="24"/>
                <w:lang w:val="en-US"/>
              </w:rPr>
              <w:t>kosten l</w:t>
            </w:r>
            <w:r w:rsidR="00B453EC">
              <w:rPr>
                <w:rFonts w:cstheme="minorHAnsi"/>
                <w:b/>
                <w:color w:val="222233"/>
                <w:sz w:val="24"/>
                <w:szCs w:val="24"/>
                <w:lang w:val="en-US"/>
              </w:rPr>
              <w:t>a</w:t>
            </w:r>
            <w:r w:rsidR="00043E10" w:rsidRPr="00B453EC">
              <w:rPr>
                <w:rFonts w:cstheme="minorHAnsi"/>
                <w:b/>
                <w:color w:val="222233"/>
                <w:sz w:val="24"/>
                <w:szCs w:val="24"/>
                <w:lang w:val="en-US"/>
              </w:rPr>
              <w:t>ag</w:t>
            </w:r>
            <w:r w:rsidR="00043E10">
              <w:rPr>
                <w:rFonts w:cstheme="minorHAnsi"/>
                <w:color w:val="222233"/>
                <w:sz w:val="24"/>
                <w:szCs w:val="24"/>
                <w:lang w:val="en-US"/>
              </w:rPr>
              <w:t xml:space="preserve"> en heb je </w:t>
            </w:r>
            <w:r w:rsidR="00043E10" w:rsidRPr="00B453EC">
              <w:rPr>
                <w:rFonts w:cstheme="minorHAnsi"/>
                <w:b/>
                <w:color w:val="222233"/>
                <w:sz w:val="24"/>
                <w:szCs w:val="24"/>
                <w:lang w:val="en-US"/>
              </w:rPr>
              <w:t>minder uitval</w:t>
            </w:r>
            <w:r w:rsidR="00043E10">
              <w:rPr>
                <w:rFonts w:cstheme="minorHAnsi"/>
                <w:color w:val="222233"/>
                <w:sz w:val="24"/>
                <w:szCs w:val="24"/>
                <w:lang w:val="en-US"/>
              </w:rPr>
              <w:t xml:space="preserve"> van producten. </w:t>
            </w:r>
          </w:p>
          <w:p w:rsidR="000235DE" w:rsidRPr="00043E10" w:rsidRDefault="000235DE" w:rsidP="00BB7FCB">
            <w:pPr>
              <w:rPr>
                <w:rFonts w:cstheme="minorHAnsi"/>
                <w:color w:val="222233"/>
                <w:sz w:val="24"/>
                <w:szCs w:val="24"/>
                <w:lang w:val="en-US"/>
              </w:rPr>
            </w:pPr>
          </w:p>
          <w:p w:rsidR="00932242" w:rsidRDefault="00043E10" w:rsidP="00BB7FCB">
            <w:pPr>
              <w:rPr>
                <w:rFonts w:cstheme="minorHAnsi"/>
                <w:color w:val="222233"/>
                <w:sz w:val="24"/>
                <w:szCs w:val="24"/>
                <w:lang w:val="en-US"/>
              </w:rPr>
            </w:pPr>
            <w:r w:rsidRPr="00043E10">
              <w:rPr>
                <w:rFonts w:cstheme="minorHAnsi"/>
                <w:color w:val="222233"/>
                <w:sz w:val="24"/>
                <w:szCs w:val="24"/>
                <w:lang w:val="en-US"/>
              </w:rPr>
              <w:t>Waren de producten misschien beschadigd?</w:t>
            </w:r>
            <w:r>
              <w:rPr>
                <w:rFonts w:cstheme="minorHAnsi"/>
                <w:color w:val="222233"/>
                <w:sz w:val="24"/>
                <w:szCs w:val="24"/>
                <w:lang w:val="en-US"/>
              </w:rPr>
              <w:t xml:space="preserve"> </w:t>
            </w:r>
            <w:r w:rsidR="00B453EC">
              <w:rPr>
                <w:rFonts w:cstheme="minorHAnsi"/>
                <w:color w:val="222233"/>
                <w:sz w:val="24"/>
                <w:szCs w:val="24"/>
                <w:lang w:val="en-US"/>
              </w:rPr>
              <w:t>Beschadiging in je bedrijf heb je zelf deels in de hand. Beschadigt een product omdat klanten er tegenaan lopen of het laten vallen dan kun je nadenken over de manier waarop je het hebt gepresenteer</w:t>
            </w:r>
            <w:r w:rsidR="00746C52">
              <w:rPr>
                <w:rFonts w:cstheme="minorHAnsi"/>
                <w:color w:val="222233"/>
                <w:sz w:val="24"/>
                <w:szCs w:val="24"/>
                <w:lang w:val="en-US"/>
              </w:rPr>
              <w:t>d in je winkel. Zijn de medewerkers</w:t>
            </w:r>
            <w:r w:rsidR="00B453EC">
              <w:rPr>
                <w:rFonts w:cstheme="minorHAnsi"/>
                <w:color w:val="222233"/>
                <w:sz w:val="24"/>
                <w:szCs w:val="24"/>
                <w:lang w:val="en-US"/>
              </w:rPr>
              <w:t xml:space="preserve"> verantwoordelijk voor beschadiging dan kun je hen aanspreken </w:t>
            </w:r>
            <w:r w:rsidR="00695AE9">
              <w:rPr>
                <w:rFonts w:cstheme="minorHAnsi"/>
                <w:color w:val="222233"/>
                <w:sz w:val="24"/>
                <w:szCs w:val="24"/>
                <w:lang w:val="en-US"/>
              </w:rPr>
              <w:t>op de wijze waarop zij met de producten omgaan. Maar</w:t>
            </w:r>
            <w:r w:rsidR="00746C52">
              <w:rPr>
                <w:rFonts w:cstheme="minorHAnsi"/>
                <w:color w:val="222233"/>
                <w:sz w:val="24"/>
                <w:szCs w:val="24"/>
                <w:lang w:val="en-US"/>
              </w:rPr>
              <w:t xml:space="preserve"> zowel bij klanten als medewerkers</w:t>
            </w:r>
            <w:r w:rsidR="00695AE9">
              <w:rPr>
                <w:rFonts w:cstheme="minorHAnsi"/>
                <w:color w:val="222233"/>
                <w:sz w:val="24"/>
                <w:szCs w:val="24"/>
                <w:lang w:val="en-US"/>
              </w:rPr>
              <w:t xml:space="preserve"> zit een ongeluk in een klein hoekje…..</w:t>
            </w:r>
          </w:p>
          <w:p w:rsidR="000235DE" w:rsidRDefault="000235DE" w:rsidP="00BB7FCB">
            <w:pPr>
              <w:rPr>
                <w:rFonts w:cstheme="minorHAnsi"/>
                <w:color w:val="222233"/>
                <w:sz w:val="24"/>
                <w:szCs w:val="24"/>
                <w:lang w:val="en-US"/>
              </w:rPr>
            </w:pPr>
          </w:p>
          <w:tbl>
            <w:tblPr>
              <w:tblStyle w:val="Tabelraster"/>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336"/>
            </w:tblGrid>
            <w:tr w:rsidR="00903B1F" w:rsidTr="00903B1F">
              <w:tc>
                <w:tcPr>
                  <w:tcW w:w="5248" w:type="dxa"/>
                </w:tcPr>
                <w:p w:rsidR="00CF0C48" w:rsidRDefault="00CF0C48" w:rsidP="00CF0C48">
                  <w:pPr>
                    <w:rPr>
                      <w:rFonts w:cstheme="minorHAnsi"/>
                      <w:color w:val="222233"/>
                      <w:sz w:val="24"/>
                      <w:szCs w:val="24"/>
                      <w:lang w:val="en-US"/>
                    </w:rPr>
                  </w:pPr>
                  <w:r>
                    <w:rPr>
                      <w:rFonts w:cstheme="minorHAnsi"/>
                      <w:color w:val="222233"/>
                      <w:sz w:val="24"/>
                      <w:szCs w:val="24"/>
                      <w:lang w:val="en-US"/>
                    </w:rPr>
                    <w:t xml:space="preserve">Veroudering of bederf zijn twee vormen van derving die je zelf in de hand kunt houden door heel goed op data op verpakking te letten, met name bij verse producten. In supermarkten en in de bloemen- en plantenbranche zijn dit veel voorkomende vormen van derving.  </w:t>
                  </w:r>
                </w:p>
                <w:p w:rsidR="00CF0C48" w:rsidRDefault="00CF0C48" w:rsidP="00CF0C48">
                  <w:pPr>
                    <w:rPr>
                      <w:rFonts w:cstheme="minorHAnsi"/>
                      <w:color w:val="222233"/>
                      <w:sz w:val="24"/>
                      <w:szCs w:val="24"/>
                      <w:lang w:val="en-US"/>
                    </w:rPr>
                  </w:pPr>
                  <w:r>
                    <w:rPr>
                      <w:rFonts w:cstheme="minorHAnsi"/>
                      <w:color w:val="222233"/>
                      <w:sz w:val="24"/>
                      <w:szCs w:val="24"/>
                      <w:lang w:val="en-US"/>
                    </w:rPr>
                    <w:t xml:space="preserve">                                                                                                                                                  Bij veroudering kun je denken aan een product uit een vorige collectie of seizoen of een ouder type techniek.             </w:t>
                  </w:r>
                </w:p>
                <w:p w:rsidR="00CF0C48" w:rsidRDefault="00CF0C48" w:rsidP="00CF0C48">
                  <w:pPr>
                    <w:rPr>
                      <w:rFonts w:cstheme="minorHAnsi"/>
                      <w:color w:val="222233"/>
                      <w:sz w:val="24"/>
                      <w:szCs w:val="24"/>
                      <w:lang w:val="en-US"/>
                    </w:rPr>
                  </w:pPr>
                  <w:r>
                    <w:rPr>
                      <w:rFonts w:cstheme="minorHAnsi"/>
                      <w:color w:val="222233"/>
                      <w:sz w:val="24"/>
                      <w:szCs w:val="24"/>
                      <w:lang w:val="en-US"/>
                    </w:rPr>
                    <w:t xml:space="preserve">                                                                                                            </w:t>
                  </w:r>
                  <w:bookmarkStart w:id="0" w:name="_GoBack"/>
                  <w:r>
                    <w:rPr>
                      <w:rFonts w:cstheme="minorHAnsi"/>
                      <w:color w:val="222233"/>
                      <w:sz w:val="24"/>
                      <w:szCs w:val="24"/>
                      <w:lang w:val="en-US"/>
                    </w:rPr>
                    <w:t>Bederf is een proces van aantasting en  verslechtering (rot, schimmel, ontbinding…) wat een product onverkoopbaar maakt.</w:t>
                  </w:r>
                  <w:bookmarkEnd w:id="0"/>
                </w:p>
                <w:p w:rsidR="00CF0C48" w:rsidRDefault="00CF0C48" w:rsidP="00CF0C48">
                  <w:pPr>
                    <w:rPr>
                      <w:rFonts w:cstheme="minorHAnsi"/>
                      <w:color w:val="222233"/>
                      <w:sz w:val="24"/>
                      <w:szCs w:val="24"/>
                      <w:lang w:val="en-US"/>
                    </w:rPr>
                  </w:pPr>
                </w:p>
                <w:p w:rsidR="00CF0C48" w:rsidRDefault="00CF0C48" w:rsidP="00BB7FCB">
                  <w:pPr>
                    <w:rPr>
                      <w:rFonts w:cstheme="minorHAnsi"/>
                      <w:color w:val="222233"/>
                      <w:sz w:val="24"/>
                      <w:szCs w:val="24"/>
                      <w:lang w:val="en-US"/>
                    </w:rPr>
                  </w:pPr>
                </w:p>
              </w:tc>
              <w:tc>
                <w:tcPr>
                  <w:tcW w:w="4336" w:type="dxa"/>
                </w:tcPr>
                <w:p w:rsidR="00CF0C48" w:rsidRDefault="00CF0C48" w:rsidP="00BB7FCB">
                  <w:pPr>
                    <w:rPr>
                      <w:noProof/>
                      <w:color w:val="0000FF"/>
                      <w:lang w:eastAsia="nl-NL"/>
                    </w:rPr>
                  </w:pPr>
                </w:p>
                <w:p w:rsidR="00CF0C48" w:rsidRDefault="00CF0C48" w:rsidP="00BB7FCB">
                  <w:pPr>
                    <w:rPr>
                      <w:noProof/>
                      <w:color w:val="0000FF"/>
                      <w:lang w:eastAsia="nl-NL"/>
                    </w:rPr>
                  </w:pPr>
                </w:p>
                <w:p w:rsidR="00CF0C48" w:rsidRDefault="00CF0C48" w:rsidP="00BB7FCB">
                  <w:pPr>
                    <w:rPr>
                      <w:rFonts w:cstheme="minorHAnsi"/>
                      <w:color w:val="222233"/>
                      <w:sz w:val="24"/>
                      <w:szCs w:val="24"/>
                      <w:lang w:val="en-US"/>
                    </w:rPr>
                  </w:pPr>
                  <w:r>
                    <w:rPr>
                      <w:noProof/>
                      <w:color w:val="0000FF"/>
                      <w:lang w:eastAsia="nl-NL"/>
                    </w:rPr>
                    <w:drawing>
                      <wp:inline distT="0" distB="0" distL="0" distR="0" wp14:anchorId="1A0C30BF" wp14:editId="71AA6C8A">
                        <wp:extent cx="2616200" cy="1980560"/>
                        <wp:effectExtent l="0" t="0" r="0" b="1270"/>
                        <wp:docPr id="4"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476" cy="1998938"/>
                                </a:xfrm>
                                <a:prstGeom prst="rect">
                                  <a:avLst/>
                                </a:prstGeom>
                                <a:noFill/>
                                <a:ln>
                                  <a:noFill/>
                                </a:ln>
                              </pic:spPr>
                            </pic:pic>
                          </a:graphicData>
                        </a:graphic>
                      </wp:inline>
                    </w:drawing>
                  </w:r>
                </w:p>
              </w:tc>
            </w:tr>
          </w:tbl>
          <w:p w:rsidR="00CF0C48" w:rsidRDefault="00972504" w:rsidP="00BB7FCB">
            <w:pPr>
              <w:rPr>
                <w:rFonts w:cstheme="minorHAnsi"/>
                <w:color w:val="222233"/>
                <w:sz w:val="24"/>
                <w:szCs w:val="24"/>
                <w:lang w:val="en-US"/>
              </w:rPr>
            </w:pPr>
            <w:r>
              <w:rPr>
                <w:rFonts w:cstheme="minorHAnsi"/>
                <w:color w:val="222233"/>
                <w:sz w:val="24"/>
                <w:szCs w:val="24"/>
                <w:lang w:val="en-US"/>
              </w:rPr>
              <w:t>Tenslotte is er nog derving als gevolg van diefstal, extern door klanten/bez</w:t>
            </w:r>
            <w:r w:rsidR="00746C52">
              <w:rPr>
                <w:rFonts w:cstheme="minorHAnsi"/>
                <w:color w:val="222233"/>
                <w:sz w:val="24"/>
                <w:szCs w:val="24"/>
                <w:lang w:val="en-US"/>
              </w:rPr>
              <w:t xml:space="preserve">oekers of intern door </w:t>
            </w:r>
            <w:r w:rsidR="007A1100">
              <w:rPr>
                <w:rFonts w:cstheme="minorHAnsi"/>
                <w:color w:val="222233"/>
                <w:sz w:val="24"/>
                <w:szCs w:val="24"/>
                <w:lang w:val="en-US"/>
              </w:rPr>
              <w:t xml:space="preserve">medewerkers. Je winkel overzichtelijk inrichten, gebruik maken van camera’s en </w:t>
            </w:r>
            <w:r w:rsidR="007A1100">
              <w:rPr>
                <w:rFonts w:cstheme="minorHAnsi"/>
                <w:color w:val="222233"/>
                <w:sz w:val="24"/>
                <w:szCs w:val="24"/>
                <w:lang w:val="en-US"/>
              </w:rPr>
              <w:lastRenderedPageBreak/>
              <w:t xml:space="preserve">spiegels, klanten attenderen op het feit dat jij </w:t>
            </w:r>
            <w:r w:rsidR="00104EB7">
              <w:rPr>
                <w:rFonts w:cstheme="minorHAnsi"/>
                <w:color w:val="222233"/>
                <w:sz w:val="24"/>
                <w:szCs w:val="24"/>
                <w:lang w:val="en-US"/>
              </w:rPr>
              <w:t>je producten in de gaten houdt!                 Voor medewerkers geldt dat je duidelijke afspraken maakt over wat er wel en niet kan op en rond de werkvloer. Dat gaat over roken, pauzes, verlof aanvragen, werkkleding, telefoongebuik, personeelskorting</w:t>
            </w:r>
            <w:r w:rsidR="00903B1F">
              <w:rPr>
                <w:rFonts w:cstheme="minorHAnsi"/>
                <w:color w:val="222233"/>
                <w:sz w:val="24"/>
                <w:szCs w:val="24"/>
                <w:lang w:val="en-US"/>
              </w:rPr>
              <w:t xml:space="preserve"> en wat de consequenties zijn bij het onrechtmatig toe eigenen van goederen of geld….</w:t>
            </w:r>
          </w:p>
          <w:p w:rsidR="00903B1F" w:rsidRDefault="00903B1F" w:rsidP="00BB7FCB">
            <w:pPr>
              <w:rPr>
                <w:rFonts w:cstheme="minorHAnsi"/>
                <w:color w:val="222233"/>
                <w:sz w:val="24"/>
                <w:szCs w:val="24"/>
                <w:lang w:val="en-US"/>
              </w:rPr>
            </w:pPr>
          </w:p>
          <w:p w:rsidR="00903B1F" w:rsidRDefault="00553FF5" w:rsidP="00BB7FCB">
            <w:pPr>
              <w:rPr>
                <w:rFonts w:cstheme="minorHAnsi"/>
                <w:color w:val="222233"/>
                <w:sz w:val="24"/>
                <w:szCs w:val="24"/>
                <w:lang w:val="en-US"/>
              </w:rPr>
            </w:pPr>
            <w:r>
              <w:rPr>
                <w:rFonts w:cstheme="minorHAnsi"/>
                <w:color w:val="222233"/>
                <w:sz w:val="24"/>
                <w:szCs w:val="24"/>
                <w:lang w:val="en-US"/>
              </w:rPr>
              <w:t>Winkeliers kunnen een dervingsplan opstellen om de</w:t>
            </w:r>
            <w:r w:rsidR="000A6847">
              <w:rPr>
                <w:rFonts w:cstheme="minorHAnsi"/>
                <w:color w:val="222233"/>
                <w:sz w:val="24"/>
                <w:szCs w:val="24"/>
                <w:lang w:val="en-US"/>
              </w:rPr>
              <w:t xml:space="preserve"> derving binnen een bedrijf te beperken. Vaak richt zo’n plan zich op de verschillende </w:t>
            </w:r>
            <w:r w:rsidR="00BF6954">
              <w:rPr>
                <w:rFonts w:cstheme="minorHAnsi"/>
                <w:color w:val="222233"/>
                <w:sz w:val="24"/>
                <w:szCs w:val="24"/>
                <w:lang w:val="en-US"/>
              </w:rPr>
              <w:t>oorzaken van derving;</w:t>
            </w:r>
          </w:p>
          <w:p w:rsidR="00BF6954" w:rsidRPr="00BF6954" w:rsidRDefault="00BF6954" w:rsidP="00BF6954">
            <w:pPr>
              <w:pStyle w:val="Lijstalinea"/>
              <w:numPr>
                <w:ilvl w:val="0"/>
                <w:numId w:val="1"/>
              </w:numPr>
              <w:rPr>
                <w:rFonts w:cstheme="minorHAnsi"/>
                <w:color w:val="222233"/>
                <w:sz w:val="24"/>
                <w:szCs w:val="24"/>
                <w:lang w:val="en-US"/>
              </w:rPr>
            </w:pPr>
            <w:r w:rsidRPr="00BF6954">
              <w:rPr>
                <w:rFonts w:cstheme="minorHAnsi"/>
                <w:color w:val="222233"/>
                <w:sz w:val="24"/>
                <w:szCs w:val="24"/>
                <w:lang w:val="en-US"/>
              </w:rPr>
              <w:t>Voorraadbeheer</w:t>
            </w:r>
          </w:p>
          <w:p w:rsidR="00BF6954" w:rsidRPr="00BF6954" w:rsidRDefault="00BF6954" w:rsidP="00BF6954">
            <w:pPr>
              <w:pStyle w:val="Lijstalinea"/>
              <w:numPr>
                <w:ilvl w:val="0"/>
                <w:numId w:val="1"/>
              </w:numPr>
              <w:rPr>
                <w:rFonts w:cstheme="minorHAnsi"/>
                <w:color w:val="222233"/>
                <w:sz w:val="24"/>
                <w:szCs w:val="24"/>
                <w:lang w:val="en-US"/>
              </w:rPr>
            </w:pPr>
            <w:r w:rsidRPr="00BF6954">
              <w:rPr>
                <w:rFonts w:cstheme="minorHAnsi"/>
                <w:color w:val="222233"/>
                <w:sz w:val="24"/>
                <w:szCs w:val="24"/>
                <w:lang w:val="en-US"/>
              </w:rPr>
              <w:t>Beschadiging</w:t>
            </w:r>
          </w:p>
          <w:p w:rsidR="00BF6954" w:rsidRPr="007341D0" w:rsidRDefault="00BF6954" w:rsidP="00BF6954">
            <w:pPr>
              <w:pStyle w:val="Lijstalinea"/>
              <w:numPr>
                <w:ilvl w:val="0"/>
                <w:numId w:val="1"/>
              </w:numPr>
              <w:rPr>
                <w:rFonts w:cstheme="minorHAnsi"/>
                <w:color w:val="222233"/>
                <w:sz w:val="24"/>
                <w:szCs w:val="24"/>
              </w:rPr>
            </w:pPr>
            <w:r w:rsidRPr="00BF6954">
              <w:rPr>
                <w:rFonts w:cstheme="minorHAnsi"/>
                <w:color w:val="222233"/>
                <w:sz w:val="24"/>
                <w:szCs w:val="24"/>
                <w:lang w:val="en-US"/>
              </w:rPr>
              <w:t>Veroudering/bederf</w:t>
            </w:r>
          </w:p>
          <w:p w:rsidR="00BF6954" w:rsidRPr="00BF6954" w:rsidRDefault="00BF6954" w:rsidP="00BF6954">
            <w:pPr>
              <w:pStyle w:val="Lijstalinea"/>
              <w:numPr>
                <w:ilvl w:val="0"/>
                <w:numId w:val="1"/>
              </w:numPr>
              <w:rPr>
                <w:rFonts w:cstheme="minorHAnsi"/>
                <w:color w:val="222233"/>
                <w:sz w:val="24"/>
                <w:szCs w:val="24"/>
                <w:lang w:val="en-US"/>
              </w:rPr>
            </w:pPr>
            <w:r w:rsidRPr="007341D0">
              <w:rPr>
                <w:rFonts w:cstheme="minorHAnsi"/>
                <w:color w:val="222233"/>
                <w:sz w:val="24"/>
                <w:szCs w:val="24"/>
              </w:rPr>
              <w:t>Diefstal</w:t>
            </w:r>
            <w:r w:rsidRPr="00BF6954">
              <w:rPr>
                <w:rFonts w:cstheme="minorHAnsi"/>
                <w:color w:val="222233"/>
                <w:sz w:val="24"/>
                <w:szCs w:val="24"/>
                <w:lang w:val="en-US"/>
              </w:rPr>
              <w:t xml:space="preserve"> </w:t>
            </w:r>
            <w:r w:rsidR="009E3CE2">
              <w:rPr>
                <w:rFonts w:cstheme="minorHAnsi"/>
                <w:color w:val="222233"/>
                <w:sz w:val="24"/>
                <w:szCs w:val="24"/>
                <w:lang w:val="en-US"/>
              </w:rPr>
              <w:t>intern</w:t>
            </w:r>
            <w:r w:rsidR="009E3CE2" w:rsidRPr="007341D0">
              <w:rPr>
                <w:rFonts w:cstheme="minorHAnsi"/>
                <w:color w:val="222233"/>
                <w:sz w:val="24"/>
                <w:szCs w:val="24"/>
              </w:rPr>
              <w:t xml:space="preserve"> en</w:t>
            </w:r>
            <w:r w:rsidR="009E3CE2">
              <w:rPr>
                <w:rFonts w:cstheme="minorHAnsi"/>
                <w:color w:val="222233"/>
                <w:sz w:val="24"/>
                <w:szCs w:val="24"/>
                <w:lang w:val="en-US"/>
              </w:rPr>
              <w:t xml:space="preserve"> extern</w:t>
            </w:r>
          </w:p>
          <w:p w:rsidR="00903B1F" w:rsidRDefault="00903B1F" w:rsidP="00BB7FCB">
            <w:pPr>
              <w:rPr>
                <w:rFonts w:cstheme="minorHAnsi"/>
                <w:color w:val="222233"/>
                <w:sz w:val="24"/>
                <w:szCs w:val="24"/>
                <w:lang w:val="en-US"/>
              </w:rPr>
            </w:pPr>
          </w:p>
          <w:p w:rsidR="000235DE" w:rsidRDefault="000235DE" w:rsidP="000235DE">
            <w:pPr>
              <w:jc w:val="center"/>
              <w:rPr>
                <w:rFonts w:cstheme="minorHAnsi"/>
                <w:color w:val="222233"/>
                <w:sz w:val="24"/>
                <w:szCs w:val="24"/>
                <w:lang w:val="en-US"/>
              </w:rPr>
            </w:pPr>
          </w:p>
          <w:p w:rsidR="00633B2E" w:rsidRDefault="00633B2E"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07274C" w:rsidRDefault="0007274C" w:rsidP="00BB7FCB">
            <w:pPr>
              <w:rPr>
                <w:rFonts w:cstheme="minorHAnsi"/>
                <w:color w:val="222233"/>
                <w:sz w:val="24"/>
                <w:szCs w:val="24"/>
                <w:lang w:val="en-US"/>
              </w:rPr>
            </w:pPr>
          </w:p>
          <w:p w:rsidR="00633B2E" w:rsidRDefault="00633B2E" w:rsidP="00BB7FCB">
            <w:pPr>
              <w:rPr>
                <w:rFonts w:cstheme="minorHAnsi"/>
                <w:color w:val="222233"/>
                <w:sz w:val="24"/>
                <w:szCs w:val="24"/>
                <w:lang w:val="en-US"/>
              </w:rPr>
            </w:pPr>
          </w:p>
          <w:p w:rsidR="00633B2E" w:rsidRPr="00043E10" w:rsidRDefault="00633B2E" w:rsidP="00BB7FCB">
            <w:pPr>
              <w:rPr>
                <w:rFonts w:cstheme="minorHAnsi"/>
                <w:sz w:val="24"/>
                <w:szCs w:val="24"/>
              </w:rPr>
            </w:pPr>
          </w:p>
          <w:p w:rsidR="00BB7FCB" w:rsidRPr="00BB7FCB" w:rsidRDefault="00BB7FCB" w:rsidP="00BB7FC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r w:rsidR="00823EB6" w:rsidRPr="00BB7FCB">
        <w:trPr>
          <w:tblCellSpacing w:w="15" w:type="dxa"/>
        </w:trPr>
        <w:tc>
          <w:tcPr>
            <w:tcW w:w="0" w:type="auto"/>
            <w:vAlign w:val="center"/>
          </w:tcPr>
          <w:p w:rsidR="00823EB6" w:rsidRPr="00043E10" w:rsidRDefault="00823EB6" w:rsidP="00BB7FCB">
            <w:pPr>
              <w:rPr>
                <w:rFonts w:cstheme="minorHAnsi"/>
                <w:color w:val="222233"/>
                <w:sz w:val="24"/>
                <w:szCs w:val="24"/>
                <w:lang w:val="en-US"/>
              </w:rPr>
            </w:pPr>
          </w:p>
        </w:tc>
      </w:tr>
    </w:tbl>
    <w:p w:rsidR="00BB7FCB" w:rsidRPr="00BB7FCB" w:rsidRDefault="00BB7FCB" w:rsidP="00BB7FCB">
      <w:pPr>
        <w:spacing w:after="0" w:line="240" w:lineRule="auto"/>
        <w:rPr>
          <w:rFonts w:ascii="Times New Roman" w:eastAsia="Times New Roman" w:hAnsi="Times New Roman" w:cs="Times New Roman"/>
          <w:vanish/>
          <w:sz w:val="24"/>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
      </w:tblGrid>
      <w:tr w:rsidR="00BB7FCB" w:rsidRPr="00BB7FC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7FCB" w:rsidRPr="00BB7FCB">
              <w:trPr>
                <w:tblCellSpacing w:w="15" w:type="dxa"/>
              </w:trPr>
              <w:tc>
                <w:tcPr>
                  <w:tcW w:w="0" w:type="auto"/>
                  <w:vAlign w:val="center"/>
                  <w:hideMark/>
                </w:tcPr>
                <w:p w:rsidR="00BB7FCB" w:rsidRPr="00BB7FCB" w:rsidRDefault="00BB7FCB" w:rsidP="00BB7FCB">
                  <w:pPr>
                    <w:spacing w:after="0" w:line="240" w:lineRule="auto"/>
                    <w:rPr>
                      <w:rFonts w:ascii="Times New Roman" w:eastAsia="Times New Roman" w:hAnsi="Times New Roman" w:cs="Times New Roman"/>
                      <w:sz w:val="24"/>
                      <w:szCs w:val="24"/>
                      <w:lang w:eastAsia="nl-NL"/>
                    </w:rPr>
                  </w:pPr>
                </w:p>
              </w:tc>
            </w:tr>
          </w:tbl>
          <w:p w:rsidR="00BB7FCB" w:rsidRPr="00BB7FCB" w:rsidRDefault="00BB7FCB" w:rsidP="00BB7FCB">
            <w:pPr>
              <w:spacing w:after="0" w:line="240" w:lineRule="auto"/>
              <w:rPr>
                <w:rFonts w:ascii="Times New Roman" w:eastAsia="Times New Roman" w:hAnsi="Times New Roman" w:cs="Times New Roman"/>
                <w:sz w:val="24"/>
                <w:szCs w:val="24"/>
                <w:lang w:eastAsia="nl-NL"/>
              </w:rPr>
            </w:pPr>
          </w:p>
        </w:tc>
      </w:tr>
    </w:tbl>
    <w:p w:rsidR="00BB7FCB" w:rsidRDefault="00BB7FCB"/>
    <w:sectPr w:rsidR="00BB7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15134"/>
    <w:multiLevelType w:val="hybridMultilevel"/>
    <w:tmpl w:val="343C5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CB"/>
    <w:rsid w:val="000235DE"/>
    <w:rsid w:val="00043E10"/>
    <w:rsid w:val="0007274C"/>
    <w:rsid w:val="000A6847"/>
    <w:rsid w:val="00104EB7"/>
    <w:rsid w:val="003F26A9"/>
    <w:rsid w:val="00445E03"/>
    <w:rsid w:val="00553FF5"/>
    <w:rsid w:val="00633B2E"/>
    <w:rsid w:val="00663B14"/>
    <w:rsid w:val="00695AE9"/>
    <w:rsid w:val="007341D0"/>
    <w:rsid w:val="00746C52"/>
    <w:rsid w:val="00784F1D"/>
    <w:rsid w:val="007A1100"/>
    <w:rsid w:val="00823EB6"/>
    <w:rsid w:val="00903B1F"/>
    <w:rsid w:val="00932242"/>
    <w:rsid w:val="00972504"/>
    <w:rsid w:val="009E3CE2"/>
    <w:rsid w:val="00B453EC"/>
    <w:rsid w:val="00BB7FCB"/>
    <w:rsid w:val="00BF6954"/>
    <w:rsid w:val="00CF0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85DC"/>
  <w15:chartTrackingRefBased/>
  <w15:docId w15:val="{FFA041B6-D6D2-4FDA-8832-6B7DBD65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33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6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bytes.me/schokkend-je-leest-al-je-hele-leven-de-houdbaarheidsdatum-op-voeding-verkeer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nl/url?sa=i&amp;rct=j&amp;q=&amp;esrc=s&amp;source=images&amp;cd=&amp;cad=rja&amp;uact=8&amp;ved=2ahUKEwjr9M-N0L3eAhUDfFAKHR2DDhkQjRx6BAgBEAU&amp;url=https://www.luba.nl/Vacature/23184/6487064/Assemblagemedewerker-Utrecht.html&amp;psig=AOvVaw0CxWAS-U16b7FXcI5mKOiV&amp;ust=154152012177767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1588-343D-4964-B304-4617C250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427</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5</cp:revision>
  <dcterms:created xsi:type="dcterms:W3CDTF">2018-11-05T15:20:00Z</dcterms:created>
  <dcterms:modified xsi:type="dcterms:W3CDTF">2018-11-05T19:03:00Z</dcterms:modified>
</cp:coreProperties>
</file>