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8B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</w:pPr>
      <w:r w:rsidRPr="00871A8F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alternatief aanwendbaar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</w:pPr>
      <w:r w:rsidRPr="00871A8F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betaalrekening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871A8F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liquiditeitspercentage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monetaire economie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behoeften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consumentenvertrouwen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vrije goederen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arbeidsdeling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directe ruil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maatschappelijke geldhoeveelheid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zelfvoorzienend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spaarmiddel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schaarste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absoluut voordeel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bestedingen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arbeidsproductiviteit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comparatief voordeel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hyperinflatie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krediet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reële economie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rekenmiddel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transactiekosten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budgetlijn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consumeren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investeren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opofferingskosten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algemeen aanvaard ruilmiddel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chartaal geld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giraal geld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intrinsieke waarde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liquide middelen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nominale waarde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optimale verdeling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transactie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specialisatie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deflatie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inflatie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hypothecaire lening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indirecte ruil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rekening-couranttegoed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ruilmiddel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koopkracht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  <w:rPr>
          <w:rStyle w:val="Zwaar"/>
          <w:b w:val="0"/>
          <w:bCs w:val="0"/>
        </w:rPr>
      </w:pPr>
      <w:r w:rsidRPr="00917022">
        <w:rPr>
          <w:rStyle w:val="Zwaar"/>
          <w:rFonts w:ascii="Arial" w:hAnsi="Arial" w:cs="Arial"/>
          <w:color w:val="636B75"/>
          <w:sz w:val="24"/>
          <w:szCs w:val="24"/>
          <w:bdr w:val="none" w:sz="0" w:space="0" w:color="auto" w:frame="1"/>
        </w:rPr>
        <w:t>middelen</w:t>
      </w:r>
    </w:p>
    <w:p w:rsidR="00871A8F" w:rsidRP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ruil in natura</w:t>
      </w:r>
    </w:p>
    <w:p w:rsidR="00871A8F" w:rsidRDefault="00871A8F" w:rsidP="00871A8F">
      <w:pPr>
        <w:pStyle w:val="Lijstalinea"/>
        <w:numPr>
          <w:ilvl w:val="0"/>
          <w:numId w:val="1"/>
        </w:numPr>
      </w:pPr>
      <w:r w:rsidRPr="00917022">
        <w:rPr>
          <w:rFonts w:ascii="Arial" w:eastAsia="Times New Roman" w:hAnsi="Arial" w:cs="Arial"/>
          <w:b/>
          <w:bCs/>
          <w:color w:val="636B75"/>
          <w:sz w:val="24"/>
          <w:szCs w:val="24"/>
          <w:bdr w:val="none" w:sz="0" w:space="0" w:color="auto" w:frame="1"/>
          <w:lang w:eastAsia="nl-NL"/>
        </w:rPr>
        <w:t>rente</w:t>
      </w:r>
      <w:bookmarkStart w:id="0" w:name="_GoBack"/>
      <w:bookmarkEnd w:id="0"/>
      <w:r w:rsidRPr="00917022">
        <w:rPr>
          <w:rFonts w:ascii="Arial" w:hAnsi="Arial" w:cs="Arial"/>
          <w:color w:val="636B75"/>
          <w:sz w:val="24"/>
          <w:szCs w:val="24"/>
        </w:rPr>
        <w:br/>
      </w:r>
      <w:r w:rsidRPr="00917022">
        <w:rPr>
          <w:rFonts w:ascii="Arial" w:eastAsia="Times New Roman" w:hAnsi="Arial" w:cs="Arial"/>
          <w:color w:val="636B75"/>
          <w:sz w:val="24"/>
          <w:szCs w:val="24"/>
          <w:lang w:eastAsia="nl-NL"/>
        </w:rPr>
        <w:br/>
      </w:r>
    </w:p>
    <w:sectPr w:rsidR="0087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3A45"/>
    <w:multiLevelType w:val="hybridMultilevel"/>
    <w:tmpl w:val="850A365E"/>
    <w:lvl w:ilvl="0" w:tplc="FD100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8F"/>
    <w:rsid w:val="00743986"/>
    <w:rsid w:val="00871A8F"/>
    <w:rsid w:val="00976646"/>
    <w:rsid w:val="00D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4733-3EEC-4EC5-9635-A37D4B32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71A8F"/>
    <w:rPr>
      <w:b/>
      <w:bCs/>
    </w:rPr>
  </w:style>
  <w:style w:type="paragraph" w:styleId="Lijstalinea">
    <w:name w:val="List Paragraph"/>
    <w:basedOn w:val="Standaard"/>
    <w:uiPriority w:val="34"/>
    <w:qFormat/>
    <w:rsid w:val="0087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B (Bas)</dc:creator>
  <cp:keywords/>
  <dc:description/>
  <cp:lastModifiedBy>Jacobs, B (Bas)</cp:lastModifiedBy>
  <cp:revision>1</cp:revision>
  <dcterms:created xsi:type="dcterms:W3CDTF">2017-10-22T11:59:00Z</dcterms:created>
  <dcterms:modified xsi:type="dcterms:W3CDTF">2017-10-22T12:26:00Z</dcterms:modified>
</cp:coreProperties>
</file>