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EF" w:rsidRDefault="003A21EF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Afronden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wil je een kommagetal op een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geheel getal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afronden.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kijkt dan naar het eerste cijfer achter de komma.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rondt:</w:t>
      </w:r>
    </w:p>
    <w:p w:rsidR="0060433B" w:rsidRPr="0060433B" w:rsidRDefault="0060433B" w:rsidP="0060433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naar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beneden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af als het eerste cijfer achter de komma een 0, 1, 2, 3 of 4 is,</w:t>
      </w:r>
    </w:p>
    <w:p w:rsidR="0060433B" w:rsidRPr="0060433B" w:rsidRDefault="0060433B" w:rsidP="0060433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naar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boven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af als het eerste cijfer achter de komma een 5, 6, 7, 8 of 9 is.</w:t>
      </w:r>
    </w:p>
    <w:tbl>
      <w:tblPr>
        <w:tblW w:w="0" w:type="auto"/>
        <w:tblBorders>
          <w:top w:val="single" w:sz="2" w:space="0" w:color="CD0101"/>
          <w:left w:val="single" w:sz="2" w:space="0" w:color="CD0101"/>
          <w:bottom w:val="single" w:sz="2" w:space="0" w:color="CD0101"/>
          <w:right w:val="single" w:sz="2" w:space="0" w:color="C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60433B" w:rsidRPr="0060433B" w:rsidTr="0060433B"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2,3 wordt 2</w:t>
            </w:r>
          </w:p>
        </w:tc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6,5 wordt 7</w:t>
            </w:r>
          </w:p>
        </w:tc>
      </w:tr>
      <w:tr w:rsidR="0060433B" w:rsidRPr="0060433B" w:rsidTr="0060433B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4,7 wordt 5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8,45 wordt 8</w:t>
            </w:r>
          </w:p>
        </w:tc>
      </w:tr>
    </w:tbl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 afronden op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twee cijfers achter de komma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geldt dat je:</w:t>
      </w:r>
    </w:p>
    <w:p w:rsidR="0060433B" w:rsidRPr="0060433B" w:rsidRDefault="0060433B" w:rsidP="0060433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naar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beneden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afrondt als de derde decimaal een 0, 1, 2, 3 of 4 is,</w:t>
      </w:r>
    </w:p>
    <w:p w:rsidR="0060433B" w:rsidRPr="0060433B" w:rsidRDefault="0060433B" w:rsidP="0060433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naar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boven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afrondt als de derde decimaal een 5, 6, 7, 8 of 9 is.</w:t>
      </w:r>
    </w:p>
    <w:tbl>
      <w:tblPr>
        <w:tblW w:w="0" w:type="auto"/>
        <w:tblBorders>
          <w:top w:val="single" w:sz="2" w:space="0" w:color="CD0101"/>
          <w:left w:val="single" w:sz="2" w:space="0" w:color="CD0101"/>
          <w:bottom w:val="single" w:sz="2" w:space="0" w:color="CD0101"/>
          <w:right w:val="single" w:sz="2" w:space="0" w:color="C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60433B" w:rsidRPr="0060433B" w:rsidTr="0060433B"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2,353 wordt 2,35</w:t>
            </w:r>
          </w:p>
        </w:tc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6,5429 wordt 6,54</w:t>
            </w:r>
          </w:p>
        </w:tc>
      </w:tr>
      <w:tr w:rsidR="0060433B" w:rsidRPr="0060433B" w:rsidTr="0060433B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4,728 wordt 4,73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60433B" w:rsidRPr="0060433B" w:rsidRDefault="0060433B" w:rsidP="00604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043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8,499 wordt 8,50</w:t>
            </w:r>
          </w:p>
        </w:tc>
      </w:tr>
    </w:tbl>
    <w:p w:rsidR="00141771" w:rsidRDefault="00141771"/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moet je de maat van iets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schatten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vergelijkt dan met een maat die bekend is. Bijvoorbeeld:</w:t>
      </w:r>
    </w:p>
    <w:p w:rsidR="0060433B" w:rsidRPr="0060433B" w:rsidRDefault="0060433B" w:rsidP="0060433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volwassen man is iets minder dan 2 m</w:t>
      </w:r>
    </w:p>
    <w:p w:rsidR="0060433B" w:rsidRPr="0060433B" w:rsidRDefault="0060433B" w:rsidP="0060433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afstand van Amsterdam naar Utrecht is iets meer dan 50 km</w:t>
      </w:r>
    </w:p>
    <w:p w:rsidR="0060433B" w:rsidRPr="0060433B" w:rsidRDefault="0060433B" w:rsidP="0060433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voetbalveld is ongeveer 50 m bij 100 m = 5000 m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2</w:t>
      </w:r>
    </w:p>
    <w:p w:rsidR="0060433B" w:rsidRPr="0060433B" w:rsidRDefault="0060433B" w:rsidP="0060433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volwassen man weegt ongeveer 80 kg</w:t>
      </w:r>
    </w:p>
    <w:p w:rsidR="0060433B" w:rsidRPr="0060433B" w:rsidRDefault="0060433B" w:rsidP="0060433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auto op de snelweg rijdt ongeveer 100 km/uur</w:t>
      </w:r>
    </w:p>
    <w:p w:rsidR="0060433B" w:rsidRPr="0060433B" w:rsidRDefault="0060433B" w:rsidP="0060433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pak melk heeft een inhoud van 1 L</w:t>
      </w:r>
    </w:p>
    <w:p w:rsidR="0060433B" w:rsidRPr="0060433B" w:rsidRDefault="0060433B" w:rsidP="006043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Rekenregels</w:t>
      </w:r>
    </w:p>
    <w:p w:rsidR="0060433B" w:rsidRPr="0060433B" w:rsidRDefault="0060433B" w:rsidP="0060433B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 rekenen gelden de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voorrangregels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:</w:t>
      </w:r>
    </w:p>
    <w:p w:rsidR="0060433B" w:rsidRPr="0060433B" w:rsidRDefault="0060433B" w:rsidP="006043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eerst uitrekenen wat tussen haakjes staat,</w:t>
      </w:r>
    </w:p>
    <w:p w:rsidR="0060433B" w:rsidRPr="0060433B" w:rsidRDefault="0060433B" w:rsidP="006043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dan kwadrateren of worteltrekken,</w:t>
      </w:r>
    </w:p>
    <w:p w:rsidR="0060433B" w:rsidRPr="0060433B" w:rsidRDefault="0060433B" w:rsidP="006043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dan vermenigvuldigen of delen</w:t>
      </w:r>
    </w:p>
    <w:p w:rsidR="0060433B" w:rsidRPr="0060433B" w:rsidRDefault="0060433B" w:rsidP="006043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dan optellen of aftrekken.</w:t>
      </w:r>
    </w:p>
    <w:p w:rsidR="0060433B" w:rsidRPr="0060433B" w:rsidRDefault="0060433B" w:rsidP="0060433B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Voorbeelden</w:t>
      </w:r>
    </w:p>
    <w:p w:rsidR="0060433B" w:rsidRPr="0060433B" w:rsidRDefault="0060433B" w:rsidP="00604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 + 3 × 6 = 8 + 18 = 26</w:t>
      </w:r>
    </w:p>
    <w:p w:rsidR="0060433B" w:rsidRPr="0060433B" w:rsidRDefault="0060433B" w:rsidP="00604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12 – 36 : 9 = 12 – 4 = 8</w:t>
      </w:r>
    </w:p>
    <w:p w:rsidR="0060433B" w:rsidRPr="0060433B" w:rsidRDefault="0060433B" w:rsidP="00604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(8 + 3) × 6 = 11 × 6 = 66</w:t>
      </w:r>
    </w:p>
    <w:p w:rsidR="0060433B" w:rsidRPr="0060433B" w:rsidRDefault="0060433B" w:rsidP="00604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5 × 3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2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5 × 9 = 45</w:t>
      </w:r>
    </w:p>
    <w:p w:rsidR="0060433B" w:rsidRPr="0060433B" w:rsidRDefault="0060433B" w:rsidP="0060433B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Staan er in een breuk in de teller en noemer bewerkingen, reken die dan eerst uit: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N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400050"/>
            <wp:effectExtent l="0" t="0" r="9525" b="0"/>
            <wp:wrapSquare wrapText="bothSides"/>
            <wp:docPr id="1" name="Afbeelding 1" descr="http://www.studiowiskunde.nl/KB3/les501/ber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wiskunde.nl/KB3/les501/bereken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3B" w:rsidRDefault="0060433B"/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Verhoudingen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verhouding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geeft een evenredig verband tussen twee variabelen weer.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het dagelijks spraakgebruik kom je regelmatig verhoudingen tegen.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Voorbeelden</w:t>
      </w:r>
    </w:p>
    <w:p w:rsidR="0060433B" w:rsidRPr="0060433B" w:rsidRDefault="0060433B" w:rsidP="0060433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Vier van de vijf jongens zijn gek op voetbal.</w:t>
      </w:r>
    </w:p>
    <w:p w:rsidR="0060433B" w:rsidRPr="0060433B" w:rsidRDefault="0060433B" w:rsidP="0060433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Er zijn drie keer zoveel meisjes als jongens.</w:t>
      </w:r>
    </w:p>
    <w:p w:rsidR="0060433B" w:rsidRPr="0060433B" w:rsidRDefault="0060433B" w:rsidP="0060433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verhouding van limonadesiroop en water is 1 : 6 (1 staat tot 6).</w:t>
      </w:r>
    </w:p>
    <w:p w:rsidR="0060433B" w:rsidRPr="0060433B" w:rsidRDefault="0060433B" w:rsidP="0060433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Eén centimeter op de kaart is in werkelijkheid 10 km.</w:t>
      </w:r>
    </w:p>
    <w:p w:rsidR="0060433B" w:rsidRDefault="0060433B" w:rsidP="0060433B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Je hebt een kans van één op tien dat je gekozen wordt.</w:t>
      </w: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Verhoudingstabel</w:t>
      </w:r>
    </w:p>
    <w:p w:rsidR="0060433B" w:rsidRPr="0060433B" w:rsidRDefault="0060433B" w:rsidP="0060433B">
      <w:pPr>
        <w:spacing w:before="100" w:beforeAutospacing="1" w:after="24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9725" cy="2019300"/>
            <wp:effectExtent l="0" t="0" r="9525" b="0"/>
            <wp:wrapSquare wrapText="bothSides"/>
            <wp:docPr id="3" name="Afbeelding 3" descr="http://www.studiowiskunde.nl/KB3/les502/ke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owiskunde.nl/KB3/les502/kett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verhouding kun je weergeven in een verhoudingstabel.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Angelique heeft een kralenketting die bestaat uit witte en rode kralen. De verhouding tussen de witte en rode kralen is 2 : 3.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86200" cy="685800"/>
            <wp:effectExtent l="0" t="0" r="0" b="0"/>
            <wp:wrapSquare wrapText="bothSides"/>
            <wp:docPr id="2" name="Afbeelding 2" descr="http://www.studiowiskunde.nl/KB3/les502/tab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wiskunde.nl/KB3/les502/tabel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:rsidR="0060433B" w:rsidRPr="0060433B" w:rsidRDefault="0060433B" w:rsidP="0060433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In de </w:t>
      </w:r>
      <w:proofErr w:type="spellStart"/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verhoudingtabel</w:t>
      </w:r>
      <w:proofErr w:type="spellEnd"/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is het onderste getal steeds 1,5 keer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zo groot als het bovenste getal.</w:t>
      </w:r>
    </w:p>
    <w:p w:rsidR="0060433B" w:rsidRPr="0060433B" w:rsidRDefault="0060433B" w:rsidP="0060433B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 een verhoudingstabel kun je getallen in de onderste en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bovenste rij met hetzelfde getal vermenigvuldigen of door hetzelfde getal delen.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verhouding blijft 2 : 3.</w:t>
      </w:r>
    </w:p>
    <w:p w:rsidR="0060433B" w:rsidRDefault="0060433B" w:rsidP="0060433B">
      <w:pPr>
        <w:pStyle w:val="Kop2"/>
        <w:rPr>
          <w:rFonts w:ascii="Verdana" w:hAnsi="Verdana"/>
          <w:color w:val="CD0101"/>
          <w:sz w:val="27"/>
          <w:szCs w:val="27"/>
        </w:rPr>
      </w:pPr>
      <w:r>
        <w:rPr>
          <w:rFonts w:ascii="Verdana" w:hAnsi="Verdana"/>
          <w:color w:val="CD0101"/>
          <w:sz w:val="27"/>
          <w:szCs w:val="27"/>
        </w:rPr>
        <w:t>Verhoudingen vergelijken</w:t>
      </w:r>
    </w:p>
    <w:p w:rsidR="003A21EF" w:rsidRDefault="0060433B" w:rsidP="0060433B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 verhoudingstabellen kun je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verhoudingen met elkaar vergelijken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Voorbeeld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In supermarkt I betaal je voor 250 gram gehakt € 3,20.</w:t>
      </w:r>
      <w:r>
        <w:rPr>
          <w:rFonts w:ascii="Verdana" w:hAnsi="Verdana"/>
          <w:color w:val="000000"/>
          <w:sz w:val="20"/>
          <w:szCs w:val="20"/>
        </w:rPr>
        <w:br/>
        <w:t>In supermarkt II betaal je voor 300 gram gehakt € 3,85.</w:t>
      </w:r>
      <w:r>
        <w:rPr>
          <w:rFonts w:ascii="Verdana" w:hAnsi="Verdana"/>
          <w:color w:val="000000"/>
          <w:sz w:val="20"/>
          <w:szCs w:val="20"/>
        </w:rPr>
        <w:br/>
        <w:t>In welke supermarkt is het gehakt het goedkoopst?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3A21EF" w:rsidRDefault="003A21EF" w:rsidP="0060433B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</w:p>
    <w:p w:rsidR="0060433B" w:rsidRDefault="0060433B" w:rsidP="0060433B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Zet de prijzen en hoeveelheden in twee verhoudingstabellen.</w:t>
      </w:r>
      <w:r>
        <w:rPr>
          <w:rFonts w:ascii="Verdana" w:hAnsi="Verdana"/>
          <w:color w:val="000000"/>
          <w:sz w:val="20"/>
          <w:szCs w:val="20"/>
        </w:rPr>
        <w:br/>
        <w:t>Reken terug tot gelijke hoeveelheden of tot gelijk prijzen.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62475" cy="800100"/>
            <wp:effectExtent l="0" t="0" r="9525" b="0"/>
            <wp:wrapSquare wrapText="bothSides"/>
            <wp:docPr id="4" name="Afbeelding 4" descr="http://www.studiowiskunde.nl/KB3/les502/tab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iowiskunde.nl/KB3/les502/tabel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Je ziet dat het gehakt in supermarkt I iets voordeliger is.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Op schaal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686050"/>
            <wp:effectExtent l="0" t="0" r="0" b="0"/>
            <wp:wrapSquare wrapText="bothSides"/>
            <wp:docPr id="5" name="Afbeelding 5" descr="http://www.studiowiskunde.nl/KB3/les502/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iowiskunde.nl/KB3/les502/ka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Kaarten zijn vaak 'op schaal' getekend, dat betekent dat er een verhouding is tussen de afstanden op de kaart en de afstanden in werkelijkheid.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Bekijk het kaartje:</w:t>
      </w:r>
    </w:p>
    <w:p w:rsidR="0060433B" w:rsidRPr="0060433B" w:rsidRDefault="0060433B" w:rsidP="0060433B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 het schaallijntje staat 20 km.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Iets wat op de kaart net zo lang is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als de schaallijn is dus in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werkelijkheid 20 km.</w:t>
      </w:r>
    </w:p>
    <w:p w:rsidR="0060433B" w:rsidRPr="0060433B" w:rsidRDefault="0060433B" w:rsidP="0060433B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Het schaallijntje is 4 cm lang.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1 cm op de kaart is dus in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werkelijkheid 5 km = 500000 cm.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schaal van de kaart is 1 : 500000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(1 staat tot 500000).</w:t>
      </w:r>
    </w:p>
    <w:p w:rsid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bookmarkStart w:id="0" w:name="_GoBack"/>
      <w:bookmarkEnd w:id="0"/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Procenten: een percentage uitrekenen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Vaak moet je een percentage uitrekenen. Dat kan op verschillende manieren.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wilt uitrekenen hoeveel 24% van 750 is.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Manier 1</w:t>
      </w:r>
    </w:p>
    <w:p w:rsidR="0060433B" w:rsidRPr="0060433B" w:rsidRDefault="0060433B" w:rsidP="0060433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Schrijf het percentage als een kommagetal: 24% = 0,24</w:t>
      </w:r>
    </w:p>
    <w:p w:rsidR="0060433B" w:rsidRPr="0060433B" w:rsidRDefault="0060433B" w:rsidP="0060433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Voer de vermenigvuldiging uit: 0,24 × 750 = 180</w:t>
      </w:r>
    </w:p>
    <w:p w:rsidR="0060433B" w:rsidRPr="0060433B" w:rsidRDefault="0060433B" w:rsidP="0060433B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Dus 24% van 750 is 180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Manier 2</w:t>
      </w:r>
    </w:p>
    <w:p w:rsidR="0060433B" w:rsidRPr="0060433B" w:rsidRDefault="0060433B" w:rsidP="0060433B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Reken eerst 1% uit: 1% van 750 is 750 : 100 = 7,5</w:t>
      </w:r>
    </w:p>
    <w:p w:rsidR="0060433B" w:rsidRDefault="0060433B" w:rsidP="0060433B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Reken dan 24% uit: 24% van 750 is 24 × 7,5 = 180</w:t>
      </w: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lastRenderedPageBreak/>
        <w:t>Procenten: hoeveel procent is het?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wil je weten hoeveel procent iets is.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inkomen van een gezin is € 2200,- per maand.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gezin geeft per maand € 750,- uit aan huisvesting.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Hoeveel procent is dat? </w:t>
      </w:r>
    </w:p>
    <w:p w:rsidR="0060433B" w:rsidRPr="0060433B" w:rsidRDefault="0060433B" w:rsidP="0060433B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750 van de 2200 is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750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2200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deel</w:t>
      </w:r>
    </w:p>
    <w:p w:rsidR="0060433B" w:rsidRPr="0060433B" w:rsidRDefault="0060433B" w:rsidP="0060433B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750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2200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≈ 0,34 = 34%</w:t>
      </w:r>
    </w:p>
    <w:p w:rsidR="0060433B" w:rsidRPr="0060433B" w:rsidRDefault="0060433B" w:rsidP="0060433B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Dus het gezin geeft ongeveer 34% van haar inkomen uit aan huisvesting.</w:t>
      </w: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Procenten: erbij en eraf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verandert de prijs van een artikel met een bepaald percentage.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wilt dan de nieuwe prijs kunnen uitrekenen.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 1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televisietoestel van € 320,- wordt 15% duurder.</w:t>
      </w:r>
    </w:p>
    <w:p w:rsidR="0060433B" w:rsidRPr="0060433B" w:rsidRDefault="0060433B" w:rsidP="0060433B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15% van 320 = 0,15 × 320 = 48</w:t>
      </w:r>
    </w:p>
    <w:p w:rsidR="0060433B" w:rsidRPr="0060433B" w:rsidRDefault="0060433B" w:rsidP="0060433B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nieuwe prijs is € 320,- + € 48,- = € 368,-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 2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2010 maakte een schildersbedrijf € 110.000 winst.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2011 was de winst 8% lager.</w:t>
      </w:r>
    </w:p>
    <w:p w:rsidR="0060433B" w:rsidRPr="0060433B" w:rsidRDefault="0060433B" w:rsidP="0060433B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8% van 110000 = 0,08 × 110000 = 8800</w:t>
      </w:r>
    </w:p>
    <w:p w:rsidR="0060433B" w:rsidRPr="0060433B" w:rsidRDefault="0060433B" w:rsidP="0060433B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winst in 2011 was € 110.000 – € 8.800 = € 101.200</w:t>
      </w: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Procenten: hoeveel procent erbij/eraf?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is iets duurder of goedkoper geworden.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wilt weten met hoeveel procent de prijs is veranderd.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 1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broek van € 75,- kost in de uitverkoop € 52,50. </w:t>
      </w:r>
    </w:p>
    <w:p w:rsidR="0060433B" w:rsidRPr="0060433B" w:rsidRDefault="0060433B" w:rsidP="0060433B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75 – 52,5 = 22,5</w:t>
      </w:r>
    </w:p>
    <w:p w:rsidR="0060433B" w:rsidRPr="0060433B" w:rsidRDefault="0060433B" w:rsidP="0060433B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22,5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75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0,3 = 30% , de broek is dus 30% goedkoper geworden.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 2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2010 maakte een schildersbedrijf € 110.000 winst.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2011 maakte het bedrijf € 118.250 winst.</w:t>
      </w:r>
    </w:p>
    <w:p w:rsidR="0060433B" w:rsidRPr="0060433B" w:rsidRDefault="0060433B" w:rsidP="0060433B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118250 – 110000 = 8250</w:t>
      </w:r>
    </w:p>
    <w:p w:rsidR="0060433B" w:rsidRPr="0060433B" w:rsidRDefault="0060433B" w:rsidP="0060433B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8250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110000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0,075 = 7,5%, de winst is dus met 7,5% toegenomen.</w:t>
      </w:r>
    </w:p>
    <w:p w:rsidR="003A21EF" w:rsidRDefault="003A21EF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</w:p>
    <w:p w:rsidR="0060433B" w:rsidRPr="0060433B" w:rsidRDefault="0060433B" w:rsidP="0060433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lastRenderedPageBreak/>
        <w:t>Procenten: groeifactor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Om een procentuele toename of afname uit te rekenen, kun je werken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met de </w:t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groeifactor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 Het getal waarmee je de beginhoeveelheid moet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vermenigvuldigen om de nieuwe hoeveelheid te krijgen, noem je de groeifactor.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hebt een spaarrekening met daarop een bedrag van € 400,-.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krijgt 5% rente per jaar.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Hoe bereken je hoeveel geld er na één jaar op de rekening staat?</w:t>
      </w:r>
    </w:p>
    <w:p w:rsidR="0060433B" w:rsidRPr="0060433B" w:rsidRDefault="0060433B" w:rsidP="0060433B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startbedrag: 100%, rente: 5%, bedrag na 1 jaar: 100% + 5% = 105%</w:t>
      </w:r>
    </w:p>
    <w:p w:rsidR="0060433B" w:rsidRPr="0060433B" w:rsidRDefault="0060433B" w:rsidP="0060433B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105% = 1,05 (groeifactor)</w:t>
      </w:r>
    </w:p>
    <w:p w:rsidR="0060433B" w:rsidRPr="0060433B" w:rsidRDefault="0060433B" w:rsidP="0060433B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bedrag na 1 jaar: 1,05 × € 400,- = € 420,-</w:t>
      </w:r>
    </w:p>
    <w:p w:rsidR="0060433B" w:rsidRPr="0060433B" w:rsidRDefault="0060433B" w:rsidP="0060433B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Voorbeelden</w:t>
      </w:r>
    </w:p>
    <w:p w:rsidR="0060433B" w:rsidRPr="0060433B" w:rsidRDefault="0060433B" w:rsidP="0060433B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bedrag neemt jaarlijks met 25% toe.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100% + 25% = 125%. De groeifactor is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125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100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1,25</w:t>
      </w:r>
    </w:p>
    <w:p w:rsidR="0060433B" w:rsidRPr="0060433B" w:rsidRDefault="0060433B" w:rsidP="0060433B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bedrag neemt jaarlijks met 5% af.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100% – 5% = 95%. De groeifactor is 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95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100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0,95</w:t>
      </w:r>
    </w:p>
    <w:p w:rsidR="0060433B" w:rsidRPr="0060433B" w:rsidRDefault="0060433B" w:rsidP="0060433B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bedrag groeit met een groeifactor van 1,04.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1,04 = 104% = 100% + 4%.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bedrag groeit met 4%</w:t>
      </w:r>
    </w:p>
    <w:p w:rsidR="0060433B" w:rsidRPr="0060433B" w:rsidRDefault="0060433B" w:rsidP="0060433B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bedrag slinkt met een groeifactor van 0,7.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0,7 = 70% = 100% – 30%.</w:t>
      </w:r>
      <w:r w:rsidRPr="0060433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bedrag slinkt met 30% (of groeit met -30%)</w:t>
      </w:r>
    </w:p>
    <w:p w:rsidR="0060433B" w:rsidRPr="0060433B" w:rsidRDefault="0060433B" w:rsidP="0060433B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0433B" w:rsidRPr="0060433B" w:rsidRDefault="0060433B" w:rsidP="0060433B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0433B" w:rsidRDefault="0060433B"/>
    <w:sectPr w:rsidR="0060433B" w:rsidSect="0060433B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71D"/>
    <w:multiLevelType w:val="multilevel"/>
    <w:tmpl w:val="1DA80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06B96"/>
    <w:multiLevelType w:val="multilevel"/>
    <w:tmpl w:val="44060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40C53"/>
    <w:multiLevelType w:val="multilevel"/>
    <w:tmpl w:val="E348F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5207"/>
    <w:multiLevelType w:val="multilevel"/>
    <w:tmpl w:val="1B9CA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24D4E"/>
    <w:multiLevelType w:val="multilevel"/>
    <w:tmpl w:val="C214F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B2F19"/>
    <w:multiLevelType w:val="multilevel"/>
    <w:tmpl w:val="2878D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B48C0"/>
    <w:multiLevelType w:val="multilevel"/>
    <w:tmpl w:val="66A40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36D6A"/>
    <w:multiLevelType w:val="multilevel"/>
    <w:tmpl w:val="92A65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334C0"/>
    <w:multiLevelType w:val="multilevel"/>
    <w:tmpl w:val="AC527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C149F"/>
    <w:multiLevelType w:val="multilevel"/>
    <w:tmpl w:val="AEFC6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6067"/>
    <w:multiLevelType w:val="multilevel"/>
    <w:tmpl w:val="3F96D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20AC1"/>
    <w:multiLevelType w:val="multilevel"/>
    <w:tmpl w:val="6DA0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C02C3"/>
    <w:multiLevelType w:val="multilevel"/>
    <w:tmpl w:val="693C8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A25F1"/>
    <w:multiLevelType w:val="multilevel"/>
    <w:tmpl w:val="B2305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20082"/>
    <w:multiLevelType w:val="multilevel"/>
    <w:tmpl w:val="5BE49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74707"/>
    <w:multiLevelType w:val="multilevel"/>
    <w:tmpl w:val="1396D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B70E4"/>
    <w:multiLevelType w:val="multilevel"/>
    <w:tmpl w:val="4CFA9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D4A97"/>
    <w:multiLevelType w:val="multilevel"/>
    <w:tmpl w:val="6E400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17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B"/>
    <w:rsid w:val="00141771"/>
    <w:rsid w:val="003A21EF"/>
    <w:rsid w:val="0060433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E8DF7BE-6A14-4145-9729-31A1B97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04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0433B"/>
  </w:style>
  <w:style w:type="character" w:customStyle="1" w:styleId="Kop2Char">
    <w:name w:val="Kop 2 Char"/>
    <w:basedOn w:val="Standaardalinea-lettertype"/>
    <w:link w:val="Kop2"/>
    <w:uiPriority w:val="9"/>
    <w:rsid w:val="0060433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C97337C2</Template>
  <TotalTime>14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2016-11-22T13:33:00Z</dcterms:created>
  <dcterms:modified xsi:type="dcterms:W3CDTF">2016-11-22T13:47:00Z</dcterms:modified>
</cp:coreProperties>
</file>