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DE" w:rsidRPr="004C4CDE" w:rsidRDefault="004C4CDE" w:rsidP="004C4CDE">
      <w:pPr>
        <w:spacing w:line="312" w:lineRule="atLeast"/>
        <w:rPr>
          <w:rFonts w:ascii="Trebuchet MS" w:eastAsia="Times New Roman" w:hAnsi="Trebuchet MS" w:cs="Times New Roman"/>
          <w:b/>
          <w:bCs/>
          <w:caps/>
          <w:color w:val="28434E"/>
          <w:spacing w:val="24"/>
          <w:sz w:val="34"/>
          <w:szCs w:val="34"/>
          <w:lang w:eastAsia="nl-NL"/>
        </w:rPr>
      </w:pPr>
      <w:r w:rsidRPr="004C4CDE">
        <w:rPr>
          <w:rFonts w:ascii="Trebuchet MS" w:eastAsia="Times New Roman" w:hAnsi="Trebuchet MS" w:cs="Times New Roman"/>
          <w:b/>
          <w:bCs/>
          <w:caps/>
          <w:color w:val="28434E"/>
          <w:spacing w:val="24"/>
          <w:sz w:val="34"/>
          <w:szCs w:val="34"/>
          <w:lang w:eastAsia="nl-NL"/>
        </w:rPr>
        <w:t>Drogredenen</w:t>
      </w:r>
    </w:p>
    <w:tbl>
      <w:tblPr>
        <w:tblW w:w="0" w:type="auto"/>
        <w:tblCellSpacing w:w="0" w:type="dxa"/>
        <w:tblCellMar>
          <w:left w:w="0" w:type="dxa"/>
          <w:right w:w="0" w:type="dxa"/>
        </w:tblCellMar>
        <w:tblLook w:val="04A0"/>
      </w:tblPr>
      <w:tblGrid>
        <w:gridCol w:w="9072"/>
      </w:tblGrid>
      <w:tr w:rsidR="004C4CDE" w:rsidRPr="004C4CDE">
        <w:trPr>
          <w:tblCellSpacing w:w="0" w:type="dxa"/>
        </w:trPr>
        <w:tc>
          <w:tcPr>
            <w:tcW w:w="0" w:type="auto"/>
            <w:hideMark/>
          </w:tcPr>
          <w:tbl>
            <w:tblPr>
              <w:tblW w:w="5000" w:type="pct"/>
              <w:tblCellSpacing w:w="15" w:type="dxa"/>
              <w:tblCellMar>
                <w:left w:w="0" w:type="dxa"/>
                <w:right w:w="0" w:type="dxa"/>
              </w:tblCellMar>
              <w:tblLook w:val="04A0"/>
            </w:tblPr>
            <w:tblGrid>
              <w:gridCol w:w="9072"/>
            </w:tblGrid>
            <w:tr w:rsidR="004C4CDE" w:rsidRPr="004C4CDE" w:rsidTr="004C4CDE">
              <w:trPr>
                <w:tblCellSpacing w:w="15" w:type="dxa"/>
              </w:trPr>
              <w:tc>
                <w:tcPr>
                  <w:tcW w:w="5000" w:type="pct"/>
                  <w:vAlign w:val="bottom"/>
                  <w:hideMark/>
                </w:tcPr>
                <w:p w:rsidR="004C4CDE" w:rsidRPr="004C4CDE" w:rsidRDefault="004C4CDE" w:rsidP="004C4CDE">
                  <w:pPr>
                    <w:spacing w:after="0" w:line="312" w:lineRule="atLeast"/>
                    <w:rPr>
                      <w:rFonts w:ascii="Trebuchet MS" w:eastAsia="Times New Roman" w:hAnsi="Trebuchet MS" w:cs="Times New Roman"/>
                      <w:b/>
                      <w:bCs/>
                      <w:color w:val="28434E"/>
                      <w:spacing w:val="24"/>
                      <w:sz w:val="30"/>
                      <w:szCs w:val="30"/>
                      <w:lang w:eastAsia="nl-NL"/>
                    </w:rPr>
                  </w:pPr>
                  <w:r w:rsidRPr="004C4CDE">
                    <w:rPr>
                      <w:rFonts w:ascii="Trebuchet MS" w:eastAsia="Times New Roman" w:hAnsi="Trebuchet MS" w:cs="Times New Roman"/>
                      <w:b/>
                      <w:bCs/>
                      <w:color w:val="28434E"/>
                      <w:spacing w:val="24"/>
                      <w:sz w:val="30"/>
                      <w:szCs w:val="30"/>
                      <w:lang w:eastAsia="nl-NL"/>
                    </w:rPr>
                    <w:t xml:space="preserve">Drogredenen </w:t>
                  </w:r>
                </w:p>
              </w:tc>
            </w:tr>
          </w:tbl>
          <w:p w:rsidR="004C4CDE" w:rsidRPr="004C4CDE" w:rsidRDefault="004C4CDE" w:rsidP="004C4CDE">
            <w:pPr>
              <w:spacing w:after="0" w:line="312" w:lineRule="atLeast"/>
              <w:rPr>
                <w:rFonts w:ascii="Trebuchet MS" w:eastAsia="Times New Roman" w:hAnsi="Trebuchet MS" w:cs="Times New Roman"/>
                <w:vanish/>
                <w:sz w:val="20"/>
                <w:szCs w:val="20"/>
                <w:lang w:eastAsia="nl-NL"/>
              </w:rPr>
            </w:pPr>
          </w:p>
          <w:tbl>
            <w:tblPr>
              <w:tblW w:w="5000" w:type="pct"/>
              <w:tblCellSpacing w:w="15" w:type="dxa"/>
              <w:tblCellMar>
                <w:left w:w="0" w:type="dxa"/>
                <w:right w:w="0" w:type="dxa"/>
              </w:tblCellMar>
              <w:tblLook w:val="04A0"/>
            </w:tblPr>
            <w:tblGrid>
              <w:gridCol w:w="9072"/>
            </w:tblGrid>
            <w:tr w:rsidR="004C4CDE" w:rsidRPr="004C4CDE" w:rsidTr="004C4CDE">
              <w:trPr>
                <w:tblCellSpacing w:w="15" w:type="dxa"/>
              </w:trPr>
              <w:tc>
                <w:tcPr>
                  <w:tcW w:w="0" w:type="auto"/>
                  <w:hideMark/>
                </w:tcPr>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Er wordt heel wat gediscussieerd op het internet en helaas worden hier heel vaak drogredenen bij gebruikt (meestal zonder dat de gebruiker zich daarvan bewust is). Een drogreden is een bedrieglijke redenering of argument. Drogredenen hebben geen of nauwelijks betrekking op de inhoud van wat gezegd wordt. Dit is schadelijk voor een goede discussie omdat het voor de opponent van degene die een drogreden gebruikt lastig of zelfs onmogelijk is zijn schijnargument of redenering te weerleggen. Het is dan zaak eerst de argumenten van de opponent te analyseren en te kijken of ze werkelijk zuiver zijn of slechts bedriegelijk. Bij gebruik van een drogreden lijkt het de beste strategie om het argumentschema zelf bloot te leggen en de opponent erop te wijzen dat hij of zij een drogreden heeft gebruikt. Het voordeel van deze strategie is dat men daardoor niet op het argument zelf hoeft in te gaan, waardoor het zijn efficiëntie verliest. </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Hieronder staan enkele veel gebruikte drogredenen die in discussies over geloof, filosofie en wetenschap terugkomen. Ze zijn uitgewerkt met voorbeelden die vaak gebruikt worden in discussies over het (christelijk) geloof. </w:t>
                  </w:r>
                </w:p>
                <w:p w:rsidR="004C4CDE" w:rsidRPr="004C4CDE" w:rsidRDefault="004C4CDE" w:rsidP="004C4CDE">
                  <w:pPr>
                    <w:spacing w:after="251" w:line="312" w:lineRule="atLeast"/>
                    <w:jc w:val="both"/>
                    <w:rPr>
                      <w:rFonts w:ascii="Trebuchet MS" w:eastAsia="Times New Roman" w:hAnsi="Trebuchet MS" w:cs="Times New Roman"/>
                      <w:sz w:val="20"/>
                      <w:szCs w:val="20"/>
                      <w:lang w:val="en-US" w:eastAsia="nl-NL"/>
                    </w:rPr>
                  </w:pPr>
                  <w:hyperlink r:id="rId4" w:anchor="adhoc" w:history="1">
                    <w:r w:rsidRPr="004C4CDE">
                      <w:rPr>
                        <w:rFonts w:ascii="Trebuchet MS" w:eastAsia="Times New Roman" w:hAnsi="Trebuchet MS" w:cs="Times New Roman"/>
                        <w:color w:val="2D5360"/>
                        <w:sz w:val="20"/>
                        <w:lang w:val="en-US" w:eastAsia="nl-NL"/>
                      </w:rPr>
                      <w:t>Ad hoc</w:t>
                    </w:r>
                  </w:hyperlink>
                  <w:r w:rsidRPr="004C4CDE">
                    <w:rPr>
                      <w:rFonts w:ascii="Trebuchet MS" w:eastAsia="Times New Roman" w:hAnsi="Trebuchet MS" w:cs="Times New Roman"/>
                      <w:sz w:val="20"/>
                      <w:szCs w:val="20"/>
                      <w:lang w:val="en-US" w:eastAsia="nl-NL"/>
                    </w:rPr>
                    <w:br/>
                  </w:r>
                  <w:hyperlink r:id="rId5" w:anchor="Anek" w:history="1">
                    <w:proofErr w:type="spellStart"/>
                    <w:r w:rsidRPr="004C4CDE">
                      <w:rPr>
                        <w:rFonts w:ascii="Trebuchet MS" w:eastAsia="Times New Roman" w:hAnsi="Trebuchet MS" w:cs="Times New Roman"/>
                        <w:color w:val="2D5360"/>
                        <w:sz w:val="20"/>
                        <w:lang w:val="en-US" w:eastAsia="nl-NL"/>
                      </w:rPr>
                      <w:t>Anekdotisch</w:t>
                    </w:r>
                    <w:proofErr w:type="spellEnd"/>
                    <w:r w:rsidRPr="004C4CDE">
                      <w:rPr>
                        <w:rFonts w:ascii="Trebuchet MS" w:eastAsia="Times New Roman" w:hAnsi="Trebuchet MS" w:cs="Times New Roman"/>
                        <w:color w:val="2D5360"/>
                        <w:sz w:val="20"/>
                        <w:lang w:val="en-US" w:eastAsia="nl-NL"/>
                      </w:rPr>
                      <w:t xml:space="preserve"> </w:t>
                    </w:r>
                    <w:proofErr w:type="spellStart"/>
                    <w:r w:rsidRPr="004C4CDE">
                      <w:rPr>
                        <w:rFonts w:ascii="Trebuchet MS" w:eastAsia="Times New Roman" w:hAnsi="Trebuchet MS" w:cs="Times New Roman"/>
                        <w:color w:val="2D5360"/>
                        <w:sz w:val="20"/>
                        <w:lang w:val="en-US" w:eastAsia="nl-NL"/>
                      </w:rPr>
                      <w:t>bewijs</w:t>
                    </w:r>
                    <w:proofErr w:type="spellEnd"/>
                  </w:hyperlink>
                  <w:r w:rsidRPr="004C4CDE">
                    <w:rPr>
                      <w:rFonts w:ascii="Trebuchet MS" w:eastAsia="Times New Roman" w:hAnsi="Trebuchet MS" w:cs="Times New Roman"/>
                      <w:sz w:val="20"/>
                      <w:szCs w:val="20"/>
                      <w:lang w:val="en-US" w:eastAsia="nl-NL"/>
                    </w:rPr>
                    <w:br/>
                  </w:r>
                  <w:hyperlink r:id="rId6" w:anchor="antiquitatem" w:history="1">
                    <w:r w:rsidRPr="004C4CDE">
                      <w:rPr>
                        <w:rFonts w:ascii="Trebuchet MS" w:eastAsia="Times New Roman" w:hAnsi="Trebuchet MS" w:cs="Times New Roman"/>
                        <w:color w:val="2D5360"/>
                        <w:sz w:val="20"/>
                        <w:lang w:val="en-US" w:eastAsia="nl-NL"/>
                      </w:rPr>
                      <w:t xml:space="preserve">Argumentum ad </w:t>
                    </w:r>
                    <w:proofErr w:type="spellStart"/>
                    <w:r w:rsidRPr="004C4CDE">
                      <w:rPr>
                        <w:rFonts w:ascii="Trebuchet MS" w:eastAsia="Times New Roman" w:hAnsi="Trebuchet MS" w:cs="Times New Roman"/>
                        <w:color w:val="2D5360"/>
                        <w:sz w:val="20"/>
                        <w:lang w:val="en-US" w:eastAsia="nl-NL"/>
                      </w:rPr>
                      <w:t>antiquitatem</w:t>
                    </w:r>
                    <w:proofErr w:type="spellEnd"/>
                  </w:hyperlink>
                  <w:r w:rsidRPr="004C4CDE">
                    <w:rPr>
                      <w:rFonts w:ascii="Trebuchet MS" w:eastAsia="Times New Roman" w:hAnsi="Trebuchet MS" w:cs="Times New Roman"/>
                      <w:sz w:val="20"/>
                      <w:szCs w:val="20"/>
                      <w:lang w:val="en-US" w:eastAsia="nl-NL"/>
                    </w:rPr>
                    <w:br/>
                  </w:r>
                  <w:hyperlink r:id="rId7" w:anchor="baculum" w:history="1">
                    <w:r w:rsidRPr="004C4CDE">
                      <w:rPr>
                        <w:rFonts w:ascii="Trebuchet MS" w:eastAsia="Times New Roman" w:hAnsi="Trebuchet MS" w:cs="Times New Roman"/>
                        <w:color w:val="2D5360"/>
                        <w:sz w:val="20"/>
                        <w:lang w:val="en-US" w:eastAsia="nl-NL"/>
                      </w:rPr>
                      <w:t xml:space="preserve">Argumentum ad </w:t>
                    </w:r>
                    <w:proofErr w:type="spellStart"/>
                    <w:r w:rsidRPr="004C4CDE">
                      <w:rPr>
                        <w:rFonts w:ascii="Trebuchet MS" w:eastAsia="Times New Roman" w:hAnsi="Trebuchet MS" w:cs="Times New Roman"/>
                        <w:color w:val="2D5360"/>
                        <w:sz w:val="20"/>
                        <w:lang w:val="en-US" w:eastAsia="nl-NL"/>
                      </w:rPr>
                      <w:t>baculum</w:t>
                    </w:r>
                    <w:proofErr w:type="spellEnd"/>
                  </w:hyperlink>
                  <w:r w:rsidRPr="004C4CDE">
                    <w:rPr>
                      <w:rFonts w:ascii="Trebuchet MS" w:eastAsia="Times New Roman" w:hAnsi="Trebuchet MS" w:cs="Times New Roman"/>
                      <w:sz w:val="20"/>
                      <w:szCs w:val="20"/>
                      <w:lang w:val="en-US" w:eastAsia="nl-NL"/>
                    </w:rPr>
                    <w:br/>
                  </w:r>
                  <w:hyperlink r:id="rId8" w:anchor="hominem" w:history="1">
                    <w:r w:rsidRPr="004C4CDE">
                      <w:rPr>
                        <w:rFonts w:ascii="Trebuchet MS" w:eastAsia="Times New Roman" w:hAnsi="Trebuchet MS" w:cs="Times New Roman"/>
                        <w:color w:val="2D5360"/>
                        <w:sz w:val="20"/>
                        <w:lang w:val="en-US" w:eastAsia="nl-NL"/>
                      </w:rPr>
                      <w:t>Argumentum ad hominem</w:t>
                    </w:r>
                  </w:hyperlink>
                  <w:r w:rsidRPr="004C4CDE">
                    <w:rPr>
                      <w:rFonts w:ascii="Trebuchet MS" w:eastAsia="Times New Roman" w:hAnsi="Trebuchet MS" w:cs="Times New Roman"/>
                      <w:sz w:val="20"/>
                      <w:szCs w:val="20"/>
                      <w:lang w:val="en-US" w:eastAsia="nl-NL"/>
                    </w:rPr>
                    <w:br/>
                  </w:r>
                  <w:hyperlink r:id="rId9" w:anchor="ignorantiam" w:history="1">
                    <w:r w:rsidRPr="004C4CDE">
                      <w:rPr>
                        <w:rFonts w:ascii="Trebuchet MS" w:eastAsia="Times New Roman" w:hAnsi="Trebuchet MS" w:cs="Times New Roman"/>
                        <w:color w:val="2D5360"/>
                        <w:sz w:val="20"/>
                        <w:lang w:val="en-US" w:eastAsia="nl-NL"/>
                      </w:rPr>
                      <w:t xml:space="preserve">Argumentum ad </w:t>
                    </w:r>
                    <w:proofErr w:type="spellStart"/>
                    <w:r w:rsidRPr="004C4CDE">
                      <w:rPr>
                        <w:rFonts w:ascii="Trebuchet MS" w:eastAsia="Times New Roman" w:hAnsi="Trebuchet MS" w:cs="Times New Roman"/>
                        <w:color w:val="2D5360"/>
                        <w:sz w:val="20"/>
                        <w:lang w:val="en-US" w:eastAsia="nl-NL"/>
                      </w:rPr>
                      <w:t>ignorantiam</w:t>
                    </w:r>
                    <w:proofErr w:type="spellEnd"/>
                  </w:hyperlink>
                  <w:r w:rsidRPr="004C4CDE">
                    <w:rPr>
                      <w:rFonts w:ascii="Trebuchet MS" w:eastAsia="Times New Roman" w:hAnsi="Trebuchet MS" w:cs="Times New Roman"/>
                      <w:sz w:val="20"/>
                      <w:szCs w:val="20"/>
                      <w:lang w:val="en-US" w:eastAsia="nl-NL"/>
                    </w:rPr>
                    <w:br/>
                  </w:r>
                  <w:hyperlink r:id="rId10" w:anchor="populum" w:history="1">
                    <w:r w:rsidRPr="004C4CDE">
                      <w:rPr>
                        <w:rFonts w:ascii="Trebuchet MS" w:eastAsia="Times New Roman" w:hAnsi="Trebuchet MS" w:cs="Times New Roman"/>
                        <w:color w:val="2D5360"/>
                        <w:sz w:val="20"/>
                        <w:lang w:val="en-US" w:eastAsia="nl-NL"/>
                      </w:rPr>
                      <w:t xml:space="preserve">Argumentum ad </w:t>
                    </w:r>
                    <w:proofErr w:type="spellStart"/>
                    <w:r w:rsidRPr="004C4CDE">
                      <w:rPr>
                        <w:rFonts w:ascii="Trebuchet MS" w:eastAsia="Times New Roman" w:hAnsi="Trebuchet MS" w:cs="Times New Roman"/>
                        <w:color w:val="2D5360"/>
                        <w:sz w:val="20"/>
                        <w:lang w:val="en-US" w:eastAsia="nl-NL"/>
                      </w:rPr>
                      <w:t>populum</w:t>
                    </w:r>
                    <w:proofErr w:type="spellEnd"/>
                  </w:hyperlink>
                  <w:r w:rsidRPr="004C4CDE">
                    <w:rPr>
                      <w:rFonts w:ascii="Trebuchet MS" w:eastAsia="Times New Roman" w:hAnsi="Trebuchet MS" w:cs="Times New Roman"/>
                      <w:sz w:val="20"/>
                      <w:szCs w:val="20"/>
                      <w:lang w:val="en-US" w:eastAsia="nl-NL"/>
                    </w:rPr>
                    <w:br/>
                  </w:r>
                  <w:hyperlink r:id="rId11" w:anchor="verecundiam" w:history="1">
                    <w:r w:rsidRPr="004C4CDE">
                      <w:rPr>
                        <w:rFonts w:ascii="Trebuchet MS" w:eastAsia="Times New Roman" w:hAnsi="Trebuchet MS" w:cs="Times New Roman"/>
                        <w:color w:val="2D5360"/>
                        <w:sz w:val="20"/>
                        <w:lang w:val="en-US" w:eastAsia="nl-NL"/>
                      </w:rPr>
                      <w:t xml:space="preserve">Argumentum ad </w:t>
                    </w:r>
                    <w:proofErr w:type="spellStart"/>
                    <w:r w:rsidRPr="004C4CDE">
                      <w:rPr>
                        <w:rFonts w:ascii="Trebuchet MS" w:eastAsia="Times New Roman" w:hAnsi="Trebuchet MS" w:cs="Times New Roman"/>
                        <w:color w:val="2D5360"/>
                        <w:sz w:val="20"/>
                        <w:lang w:val="en-US" w:eastAsia="nl-NL"/>
                      </w:rPr>
                      <w:t>verecundiam</w:t>
                    </w:r>
                    <w:proofErr w:type="spellEnd"/>
                  </w:hyperlink>
                  <w:r w:rsidRPr="004C4CDE">
                    <w:rPr>
                      <w:rFonts w:ascii="Trebuchet MS" w:eastAsia="Times New Roman" w:hAnsi="Trebuchet MS" w:cs="Times New Roman"/>
                      <w:sz w:val="20"/>
                      <w:szCs w:val="20"/>
                      <w:lang w:val="en-US" w:eastAsia="nl-NL"/>
                    </w:rPr>
                    <w:br/>
                  </w:r>
                  <w:hyperlink r:id="rId12" w:anchor="Posthoc" w:history="1">
                    <w:r w:rsidRPr="004C4CDE">
                      <w:rPr>
                        <w:rFonts w:ascii="Trebuchet MS" w:eastAsia="Times New Roman" w:hAnsi="Trebuchet MS" w:cs="Times New Roman"/>
                        <w:color w:val="2D5360"/>
                        <w:sz w:val="20"/>
                        <w:lang w:val="en-US" w:eastAsia="nl-NL"/>
                      </w:rPr>
                      <w:t>Post hoc ergo propter hoc</w:t>
                    </w:r>
                  </w:hyperlink>
                  <w:r w:rsidRPr="004C4CDE">
                    <w:rPr>
                      <w:rFonts w:ascii="Trebuchet MS" w:eastAsia="Times New Roman" w:hAnsi="Trebuchet MS" w:cs="Times New Roman"/>
                      <w:sz w:val="20"/>
                      <w:szCs w:val="20"/>
                      <w:lang w:val="en-US" w:eastAsia="nl-NL"/>
                    </w:rPr>
                    <w:br/>
                  </w:r>
                  <w:hyperlink r:id="rId13" w:anchor="principii" w:history="1">
                    <w:proofErr w:type="spellStart"/>
                    <w:r w:rsidRPr="004C4CDE">
                      <w:rPr>
                        <w:rFonts w:ascii="Trebuchet MS" w:eastAsia="Times New Roman" w:hAnsi="Trebuchet MS" w:cs="Times New Roman"/>
                        <w:color w:val="2D5360"/>
                        <w:sz w:val="20"/>
                        <w:lang w:val="en-US" w:eastAsia="nl-NL"/>
                      </w:rPr>
                      <w:t>Petitio</w:t>
                    </w:r>
                    <w:proofErr w:type="spellEnd"/>
                    <w:r w:rsidRPr="004C4CDE">
                      <w:rPr>
                        <w:rFonts w:ascii="Trebuchet MS" w:eastAsia="Times New Roman" w:hAnsi="Trebuchet MS" w:cs="Times New Roman"/>
                        <w:color w:val="2D5360"/>
                        <w:sz w:val="20"/>
                        <w:lang w:val="en-US" w:eastAsia="nl-NL"/>
                      </w:rPr>
                      <w:t xml:space="preserve"> </w:t>
                    </w:r>
                    <w:proofErr w:type="spellStart"/>
                    <w:r w:rsidRPr="004C4CDE">
                      <w:rPr>
                        <w:rFonts w:ascii="Trebuchet MS" w:eastAsia="Times New Roman" w:hAnsi="Trebuchet MS" w:cs="Times New Roman"/>
                        <w:color w:val="2D5360"/>
                        <w:sz w:val="20"/>
                        <w:lang w:val="en-US" w:eastAsia="nl-NL"/>
                      </w:rPr>
                      <w:t>principii</w:t>
                    </w:r>
                    <w:proofErr w:type="spellEnd"/>
                  </w:hyperlink>
                  <w:r w:rsidRPr="004C4CDE">
                    <w:rPr>
                      <w:rFonts w:ascii="Trebuchet MS" w:eastAsia="Times New Roman" w:hAnsi="Trebuchet MS" w:cs="Times New Roman"/>
                      <w:sz w:val="20"/>
                      <w:szCs w:val="20"/>
                      <w:lang w:val="en-US" w:eastAsia="nl-NL"/>
                    </w:rPr>
                    <w:br/>
                  </w:r>
                  <w:hyperlink r:id="rId14" w:anchor="Verwisselenbewijslast" w:history="1">
                    <w:proofErr w:type="spellStart"/>
                    <w:r w:rsidRPr="004C4CDE">
                      <w:rPr>
                        <w:rFonts w:ascii="Trebuchet MS" w:eastAsia="Times New Roman" w:hAnsi="Trebuchet MS" w:cs="Times New Roman"/>
                        <w:color w:val="2D5360"/>
                        <w:sz w:val="20"/>
                        <w:lang w:val="en-US" w:eastAsia="nl-NL"/>
                      </w:rPr>
                      <w:t>Verwisselen</w:t>
                    </w:r>
                    <w:proofErr w:type="spellEnd"/>
                    <w:r w:rsidRPr="004C4CDE">
                      <w:rPr>
                        <w:rFonts w:ascii="Trebuchet MS" w:eastAsia="Times New Roman" w:hAnsi="Trebuchet MS" w:cs="Times New Roman"/>
                        <w:color w:val="2D5360"/>
                        <w:sz w:val="20"/>
                        <w:lang w:val="en-US" w:eastAsia="nl-NL"/>
                      </w:rPr>
                      <w:t xml:space="preserve"> van de </w:t>
                    </w:r>
                    <w:proofErr w:type="spellStart"/>
                    <w:r w:rsidRPr="004C4CDE">
                      <w:rPr>
                        <w:rFonts w:ascii="Trebuchet MS" w:eastAsia="Times New Roman" w:hAnsi="Trebuchet MS" w:cs="Times New Roman"/>
                        <w:color w:val="2D5360"/>
                        <w:sz w:val="20"/>
                        <w:lang w:val="en-US" w:eastAsia="nl-NL"/>
                      </w:rPr>
                      <w:t>bewijslast</w:t>
                    </w:r>
                    <w:proofErr w:type="spellEnd"/>
                  </w:hyperlink>
                  <w:r w:rsidRPr="004C4CDE">
                    <w:rPr>
                      <w:rFonts w:ascii="Trebuchet MS" w:eastAsia="Times New Roman" w:hAnsi="Trebuchet MS" w:cs="Times New Roman"/>
                      <w:sz w:val="20"/>
                      <w:szCs w:val="20"/>
                      <w:lang w:val="en-US" w:eastAsia="nl-NL"/>
                    </w:rPr>
                    <w:br/>
                  </w:r>
                  <w:hyperlink r:id="rId15" w:anchor="Stroman" w:history="1">
                    <w:proofErr w:type="spellStart"/>
                    <w:r w:rsidRPr="004C4CDE">
                      <w:rPr>
                        <w:rFonts w:ascii="Trebuchet MS" w:eastAsia="Times New Roman" w:hAnsi="Trebuchet MS" w:cs="Times New Roman"/>
                        <w:color w:val="2D5360"/>
                        <w:sz w:val="20"/>
                        <w:lang w:val="en-US" w:eastAsia="nl-NL"/>
                      </w:rPr>
                      <w:t>Stroman</w:t>
                    </w:r>
                    <w:proofErr w:type="spellEnd"/>
                  </w:hyperlink>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Naast bovenstaande opsomming is er nog een aantal dat gebruikt kan worden. Voor een completer overzicht verwijs ik graag naar </w:t>
                  </w:r>
                  <w:hyperlink r:id="rId16" w:tgtFrame="_blank" w:history="1">
                    <w:r w:rsidRPr="004C4CDE">
                      <w:rPr>
                        <w:rFonts w:ascii="Trebuchet MS" w:eastAsia="Times New Roman" w:hAnsi="Trebuchet MS" w:cs="Times New Roman"/>
                        <w:color w:val="2D5360"/>
                        <w:sz w:val="20"/>
                        <w:lang w:eastAsia="nl-NL"/>
                      </w:rPr>
                      <w:t>deze website.</w:t>
                    </w:r>
                  </w:hyperlink>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0" w:name="adhoc"/>
                  <w:bookmarkEnd w:id="0"/>
                  <w:r w:rsidRPr="004C4CDE">
                    <w:rPr>
                      <w:rFonts w:ascii="Trebuchet MS" w:eastAsia="Times New Roman" w:hAnsi="Trebuchet MS" w:cs="Times New Roman"/>
                      <w:b/>
                      <w:bCs/>
                      <w:color w:val="28434E"/>
                      <w:sz w:val="30"/>
                      <w:szCs w:val="30"/>
                      <w:lang w:eastAsia="nl-NL"/>
                    </w:rPr>
                    <w:t>Ad hoc</w:t>
                  </w:r>
                </w:p>
                <w:p w:rsidR="004C4CDE" w:rsidRPr="004C4CDE" w:rsidRDefault="004C4CDE" w:rsidP="004C4CDE">
                  <w:pPr>
                    <w:spacing w:after="0" w:line="312" w:lineRule="atLeast"/>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De ad hoc drogreden geeft een uitleg achteraf die niet opgaat voor alle situaties. </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Uitgaande dat God iedereen gelijk behandelt:</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"God heeft mijn gebed verhoord en mijn vriendin genezen van kanker!"</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"Dus God zal ook anderen genezen van kanker?"</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lastRenderedPageBreak/>
                    <w:t>"Uh....Gods wegen zijn ondoorgrondelijk"</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1" w:name="Anek"/>
                  <w:bookmarkEnd w:id="1"/>
                  <w:r w:rsidRPr="004C4CDE">
                    <w:rPr>
                      <w:rFonts w:ascii="Trebuchet MS" w:eastAsia="Times New Roman" w:hAnsi="Trebuchet MS" w:cs="Times New Roman"/>
                      <w:b/>
                      <w:bCs/>
                      <w:color w:val="28434E"/>
                      <w:sz w:val="30"/>
                      <w:szCs w:val="30"/>
                      <w:lang w:eastAsia="nl-NL"/>
                    </w:rPr>
                    <w:t>Anekdotisch bewijs</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Dit is misschien wel de meest simpele en veelgebruikte drogreden. Een anekdote wordt aangevoerd om iets te bewijzen.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"Er is genoeg bewijs dat God bestaat en dat hij nog steeds wonderen verricht. Vorige week nog hoorde ik over iemand die aan kanker doodging. Zijn hele familie ging naar de kerk en bad voor hem, hij werd genezen."</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2" w:name="antiquitatem"/>
                  <w:bookmarkEnd w:id="2"/>
                  <w:r w:rsidRPr="004C4CDE">
                    <w:rPr>
                      <w:rFonts w:ascii="Trebuchet MS" w:eastAsia="Times New Roman" w:hAnsi="Trebuchet MS" w:cs="Times New Roman"/>
                      <w:b/>
                      <w:bCs/>
                      <w:color w:val="28434E"/>
                      <w:sz w:val="30"/>
                      <w:szCs w:val="30"/>
                      <w:lang w:eastAsia="nl-NL"/>
                    </w:rPr>
                    <w:t>Argumentum ad antiquitatem</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Dit is de drogreden dat iets juist of goed is, simpelweg omdat het oud is.</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"Al duizenden jaren geloven christenen in Jezus. Het christendom moet wel waar zijn omdat het al zo lang bestaat, zelfs ondanks vervolgingen."</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3" w:name="baculum"/>
                  <w:bookmarkEnd w:id="3"/>
                  <w:r w:rsidRPr="004C4CDE">
                    <w:rPr>
                      <w:rFonts w:ascii="Trebuchet MS" w:eastAsia="Times New Roman" w:hAnsi="Trebuchet MS" w:cs="Times New Roman"/>
                      <w:b/>
                      <w:bCs/>
                      <w:color w:val="28434E"/>
                      <w:sz w:val="30"/>
                      <w:szCs w:val="30"/>
                      <w:lang w:eastAsia="nl-NL"/>
                    </w:rPr>
                    <w:t>Argumentum ad baculum</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Het argument "met de stok" is een zuiver en puur machtsargument, zeg maar een openlijk dreigement.</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"Als je Jezus niet aanneemt als Redder zult je eeuwig branden in de hel!"</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4" w:name="hominem"/>
                  <w:bookmarkEnd w:id="4"/>
                  <w:r w:rsidRPr="004C4CDE">
                    <w:rPr>
                      <w:rFonts w:ascii="Trebuchet MS" w:eastAsia="Times New Roman" w:hAnsi="Trebuchet MS" w:cs="Times New Roman"/>
                      <w:b/>
                      <w:bCs/>
                      <w:color w:val="28434E"/>
                      <w:sz w:val="30"/>
                      <w:szCs w:val="30"/>
                      <w:lang w:eastAsia="nl-NL"/>
                    </w:rPr>
                    <w:t>Argumentum ad hominem</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Dit is een persoonlijke aanval. De reactie is niet gericht op het argument van de opponent, maar op de opponent zelf.</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"Jullie atheïsten zijn kille mensen"</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5" w:name="ignorantiam"/>
                  <w:bookmarkEnd w:id="5"/>
                  <w:r w:rsidRPr="004C4CDE">
                    <w:rPr>
                      <w:rFonts w:ascii="Trebuchet MS" w:eastAsia="Times New Roman" w:hAnsi="Trebuchet MS" w:cs="Times New Roman"/>
                      <w:b/>
                      <w:bCs/>
                      <w:color w:val="28434E"/>
                      <w:sz w:val="30"/>
                      <w:szCs w:val="30"/>
                      <w:lang w:eastAsia="nl-NL"/>
                    </w:rPr>
                    <w:t>Argumentum ad ignorantiam</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Dit is een zeer veel gebruikte drogreden en betekent letterlijk "argument van onwetendheid". Deze drogreden stelt dat iets simpelweg waar is omdat niet bewezen is dat het niet waar is, of andersom, dat iets niet waar is omdat het nog niet bewezen is dat het waar is.</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Enkele voorbeelden: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lastRenderedPageBreak/>
                    <w:t>"De Bijbel is waar, niemand kan het tegendeel bewijzen."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"Het oog is te complex om te evolueren, daarom moet het wel ontworpen zijn door een intelligente Ontwerper" (Merk op dat de evolutie van het oog uitgebreid gedocumenteerd is!)</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6" w:name="populum"/>
                  <w:bookmarkEnd w:id="6"/>
                  <w:r w:rsidRPr="004C4CDE">
                    <w:rPr>
                      <w:rFonts w:ascii="Trebuchet MS" w:eastAsia="Times New Roman" w:hAnsi="Trebuchet MS" w:cs="Times New Roman"/>
                      <w:b/>
                      <w:bCs/>
                      <w:color w:val="28434E"/>
                      <w:sz w:val="30"/>
                      <w:szCs w:val="30"/>
                      <w:lang w:eastAsia="nl-NL"/>
                    </w:rPr>
                    <w:t>Argumentum ad populum</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Dit is de drogreden dat iets wel waar moet zijn omdat vele mensen geloven dat het waar is. Vaak zijn ze ook emotioneel beladen. </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Enkele voorbeelden: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"Al duizenden jaren geloven mensen in de bijbel en Jezus, wil je beweren dat al die mensen gek zijn?"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"Zo'n twee miljard mensen zijn christen, dat zegt toch wel iets?"</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7" w:name="verecundiam"/>
                  <w:bookmarkEnd w:id="7"/>
                  <w:r w:rsidRPr="004C4CDE">
                    <w:rPr>
                      <w:rFonts w:ascii="Trebuchet MS" w:eastAsia="Times New Roman" w:hAnsi="Trebuchet MS" w:cs="Times New Roman"/>
                      <w:b/>
                      <w:bCs/>
                      <w:color w:val="28434E"/>
                      <w:sz w:val="30"/>
                      <w:szCs w:val="30"/>
                      <w:lang w:eastAsia="nl-NL"/>
                    </w:rPr>
                    <w:t>Argumentum ad verecundiam</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Bij deze drogreden wordt een beroep gedaan op een autoriteit of een beroemd persoon om de stelling kracht bij te zetten.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Enkele voorbeelden: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"Isaak Newton was een genie en geloofde in God"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"Einstein geloofde in God, weet jij het beter dan hij?" (Merk op dat Einstein niet in de christelijke God geloofde, maar een pantheïst was.)</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8" w:name="Posthoc"/>
                  <w:bookmarkEnd w:id="8"/>
                  <w:r w:rsidRPr="004C4CDE">
                    <w:rPr>
                      <w:rFonts w:ascii="Trebuchet MS" w:eastAsia="Times New Roman" w:hAnsi="Trebuchet MS" w:cs="Times New Roman"/>
                      <w:b/>
                      <w:bCs/>
                      <w:color w:val="28434E"/>
                      <w:sz w:val="30"/>
                      <w:szCs w:val="30"/>
                      <w:lang w:eastAsia="nl-NL"/>
                    </w:rPr>
                    <w:t>Post hoc ergo propter hoc</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Dit betekent letterlijk: daarna dus daarom. Een bepaalde gebeurtenis wordt veroorzaakt door iets simpelweg omdat het voor die gebeurtenis gebeurd is.</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"Na mijn gebed knapte mijn vriend zienderogen op van zijn ziekte, God heeft hem genezen!"</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9" w:name="principii"/>
                  <w:bookmarkEnd w:id="9"/>
                  <w:r w:rsidRPr="004C4CDE">
                    <w:rPr>
                      <w:rFonts w:ascii="Trebuchet MS" w:eastAsia="Times New Roman" w:hAnsi="Trebuchet MS" w:cs="Times New Roman"/>
                      <w:b/>
                      <w:bCs/>
                      <w:color w:val="28434E"/>
                      <w:sz w:val="30"/>
                      <w:szCs w:val="30"/>
                      <w:lang w:eastAsia="nl-NL"/>
                    </w:rPr>
                    <w:t>Petitio principii</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Een cirkelredenering of "de vraag ontwijken". Bij deze drogreden keert de conclusie weer terug naar de aanname. De premisse van het argument veronderstelt impliciet wat het argument probeert te bewijzen. </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Enkele voorbeelden: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"De bijbel is waar omdat het door God is ingegeven en het is door God ingegeven omdat dat in de bijbel staat"</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lastRenderedPageBreak/>
                    <w:t xml:space="preserve">"Het universum bestaat. Daar moet een plan, ontwerp of iets dergelijks achter zitten, een intelligente Ontwerper dus. Daarom bestaat God." </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10" w:name="Verwisselenbewijslast"/>
                  <w:bookmarkEnd w:id="10"/>
                  <w:r w:rsidRPr="004C4CDE">
                    <w:rPr>
                      <w:rFonts w:ascii="Trebuchet MS" w:eastAsia="Times New Roman" w:hAnsi="Trebuchet MS" w:cs="Times New Roman"/>
                      <w:b/>
                      <w:bCs/>
                      <w:color w:val="28434E"/>
                      <w:sz w:val="30"/>
                      <w:szCs w:val="30"/>
                      <w:lang w:eastAsia="nl-NL"/>
                    </w:rPr>
                    <w:t>Verwisselen van de bewijslast</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De bewijslast ligt altijd aan de kant van degene die iets beweert. Het verschuiven van de bewijslast, een bijzonder geval van het argumentum ad ignorantiam, is de drogreden die de bewijslast verschuift naar degene die een bewering ontkent of in vraag stelt.</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Een voorbeeld:</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"God bestaat, jij kunt niet bewijzen dat Hij niet bestaat."</w:t>
                  </w:r>
                </w:p>
                <w:p w:rsidR="004C4CDE" w:rsidRPr="004C4CDE" w:rsidRDefault="004C4CDE" w:rsidP="004C4CDE">
                  <w:pPr>
                    <w:spacing w:before="100" w:beforeAutospacing="1" w:after="120" w:line="240" w:lineRule="auto"/>
                    <w:outlineLvl w:val="2"/>
                    <w:rPr>
                      <w:rFonts w:ascii="Trebuchet MS" w:eastAsia="Times New Roman" w:hAnsi="Trebuchet MS" w:cs="Times New Roman"/>
                      <w:b/>
                      <w:bCs/>
                      <w:color w:val="28434E"/>
                      <w:sz w:val="30"/>
                      <w:szCs w:val="30"/>
                      <w:lang w:eastAsia="nl-NL"/>
                    </w:rPr>
                  </w:pPr>
                  <w:bookmarkStart w:id="11" w:name="Stroman"/>
                  <w:bookmarkEnd w:id="11"/>
                  <w:r w:rsidRPr="004C4CDE">
                    <w:rPr>
                      <w:rFonts w:ascii="Trebuchet MS" w:eastAsia="Times New Roman" w:hAnsi="Trebuchet MS" w:cs="Times New Roman"/>
                      <w:b/>
                      <w:bCs/>
                      <w:color w:val="28434E"/>
                      <w:sz w:val="30"/>
                      <w:szCs w:val="30"/>
                      <w:lang w:eastAsia="nl-NL"/>
                    </w:rPr>
                    <w:t>Stroman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Bij deze drogreden wordt de positie van iemand zodanig verdraaid (versimpeld, overdreven, enzovoort) dat het makkelijker aan te vallen is. Het werkelijke standpunt wordt dus vervangen door een argument dat onderuitgehaald kan worden. De gebruiker van de drogreden weerlegt dus eventueel het verdraaide argument in plaats van het werkelijke argument.</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Enkele voorbeelden:</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"De schoonheid in de natuur is geen toeval" (als reactie op de evolutietheorie)</w:t>
                  </w:r>
                </w:p>
                <w:p w:rsidR="004C4CDE" w:rsidRPr="004C4CDE" w:rsidRDefault="004C4CDE" w:rsidP="004C4CDE">
                  <w:pPr>
                    <w:spacing w:after="251" w:line="312" w:lineRule="atLeast"/>
                    <w:jc w:val="both"/>
                    <w:rPr>
                      <w:rFonts w:ascii="Trebuchet MS" w:eastAsia="Times New Roman" w:hAnsi="Trebuchet MS" w:cs="Times New Roman"/>
                      <w:sz w:val="20"/>
                      <w:szCs w:val="20"/>
                      <w:lang w:eastAsia="nl-NL"/>
                    </w:rPr>
                  </w:pPr>
                  <w:r w:rsidRPr="004C4CDE">
                    <w:rPr>
                      <w:rFonts w:ascii="Trebuchet MS" w:eastAsia="Times New Roman" w:hAnsi="Trebuchet MS" w:cs="Times New Roman"/>
                      <w:sz w:val="20"/>
                      <w:szCs w:val="20"/>
                      <w:lang w:eastAsia="nl-NL"/>
                    </w:rPr>
                    <w:t xml:space="preserve">"Geloof jij dat al het moois om ons heen is ontstaan door één grote knal (oerknal)?" </w:t>
                  </w:r>
                </w:p>
              </w:tc>
            </w:tr>
          </w:tbl>
          <w:p w:rsidR="004C4CDE" w:rsidRPr="004C4CDE" w:rsidRDefault="004C4CDE" w:rsidP="004C4CDE">
            <w:pPr>
              <w:spacing w:after="0" w:line="312" w:lineRule="atLeast"/>
              <w:rPr>
                <w:rFonts w:ascii="Trebuchet MS" w:eastAsia="Times New Roman" w:hAnsi="Trebuchet MS" w:cs="Times New Roman"/>
                <w:sz w:val="20"/>
                <w:szCs w:val="20"/>
                <w:lang w:eastAsia="nl-NL"/>
              </w:rPr>
            </w:pPr>
          </w:p>
        </w:tc>
      </w:tr>
    </w:tbl>
    <w:p w:rsidR="00B20F95" w:rsidRDefault="004C4CDE">
      <w:r>
        <w:lastRenderedPageBreak/>
        <w:t xml:space="preserve">(Bron: </w:t>
      </w:r>
      <w:hyperlink r:id="rId17" w:history="1">
        <w:r w:rsidRPr="007C6F91">
          <w:rPr>
            <w:rStyle w:val="Hyperlink"/>
          </w:rPr>
          <w:t>http://www.deatheist.nl/index.php?option=com_content&amp;view=category&amp;layout</w:t>
        </w:r>
      </w:hyperlink>
      <w:r>
        <w:t xml:space="preserve"> </w:t>
      </w:r>
      <w:r w:rsidRPr="004C4CDE">
        <w:t>=blog&amp;id=24&amp;Itemid=18</w:t>
      </w:r>
      <w:r>
        <w:t>)</w:t>
      </w:r>
    </w:p>
    <w:sectPr w:rsidR="00B20F95" w:rsidSect="00B20F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C4CDE"/>
    <w:rsid w:val="004C4CDE"/>
    <w:rsid w:val="00B20F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95"/>
  </w:style>
  <w:style w:type="paragraph" w:styleId="Heading3">
    <w:name w:val="heading 3"/>
    <w:basedOn w:val="Normal"/>
    <w:link w:val="Heading3Char"/>
    <w:uiPriority w:val="9"/>
    <w:qFormat/>
    <w:rsid w:val="004C4CDE"/>
    <w:pPr>
      <w:spacing w:before="100" w:beforeAutospacing="1" w:after="120" w:line="240" w:lineRule="auto"/>
      <w:outlineLvl w:val="2"/>
    </w:pPr>
    <w:rPr>
      <w:rFonts w:ascii="Times New Roman" w:eastAsia="Times New Roman" w:hAnsi="Times New Roman" w:cs="Times New Roman"/>
      <w:b/>
      <w:bCs/>
      <w:color w:val="28434E"/>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4CDE"/>
    <w:rPr>
      <w:rFonts w:ascii="Times New Roman" w:eastAsia="Times New Roman" w:hAnsi="Times New Roman" w:cs="Times New Roman"/>
      <w:b/>
      <w:bCs/>
      <w:color w:val="28434E"/>
      <w:sz w:val="36"/>
      <w:szCs w:val="36"/>
      <w:lang w:eastAsia="nl-NL"/>
    </w:rPr>
  </w:style>
  <w:style w:type="character" w:styleId="Hyperlink">
    <w:name w:val="Hyperlink"/>
    <w:basedOn w:val="DefaultParagraphFont"/>
    <w:uiPriority w:val="99"/>
    <w:unhideWhenUsed/>
    <w:rsid w:val="004C4CDE"/>
    <w:rPr>
      <w:b w:val="0"/>
      <w:bCs w:val="0"/>
      <w:strike w:val="0"/>
      <w:dstrike w:val="0"/>
      <w:color w:val="2D5360"/>
      <w:u w:val="none"/>
      <w:effect w:val="none"/>
    </w:rPr>
  </w:style>
  <w:style w:type="paragraph" w:styleId="NormalWeb">
    <w:name w:val="Normal (Web)"/>
    <w:basedOn w:val="Normal"/>
    <w:uiPriority w:val="99"/>
    <w:unhideWhenUsed/>
    <w:rsid w:val="004C4CDE"/>
    <w:pPr>
      <w:spacing w:after="251" w:line="240" w:lineRule="auto"/>
      <w:jc w:val="both"/>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184317483">
      <w:bodyDiv w:val="1"/>
      <w:marLeft w:val="0"/>
      <w:marRight w:val="0"/>
      <w:marTop w:val="0"/>
      <w:marBottom w:val="0"/>
      <w:divBdr>
        <w:top w:val="none" w:sz="0" w:space="0" w:color="auto"/>
        <w:left w:val="none" w:sz="0" w:space="0" w:color="auto"/>
        <w:bottom w:val="none" w:sz="0" w:space="0" w:color="auto"/>
        <w:right w:val="none" w:sz="0" w:space="0" w:color="auto"/>
      </w:divBdr>
      <w:divsChild>
        <w:div w:id="1378091670">
          <w:marLeft w:val="0"/>
          <w:marRight w:val="0"/>
          <w:marTop w:val="0"/>
          <w:marBottom w:val="0"/>
          <w:divBdr>
            <w:top w:val="single" w:sz="6" w:space="0" w:color="B6CBBA"/>
            <w:left w:val="single" w:sz="6" w:space="0" w:color="B6CBBA"/>
            <w:bottom w:val="single" w:sz="6" w:space="0" w:color="B6CBBA"/>
            <w:right w:val="single" w:sz="6" w:space="0" w:color="B6CBBA"/>
          </w:divBdr>
          <w:divsChild>
            <w:div w:id="1930577216">
              <w:marLeft w:val="0"/>
              <w:marRight w:val="0"/>
              <w:marTop w:val="0"/>
              <w:marBottom w:val="0"/>
              <w:divBdr>
                <w:top w:val="none" w:sz="0" w:space="0" w:color="auto"/>
                <w:left w:val="none" w:sz="0" w:space="0" w:color="auto"/>
                <w:bottom w:val="none" w:sz="0" w:space="0" w:color="auto"/>
                <w:right w:val="none" w:sz="0" w:space="0" w:color="auto"/>
              </w:divBdr>
              <w:divsChild>
                <w:div w:id="1692489517">
                  <w:marLeft w:val="20"/>
                  <w:marRight w:val="0"/>
                  <w:marTop w:val="0"/>
                  <w:marBottom w:val="0"/>
                  <w:divBdr>
                    <w:top w:val="none" w:sz="0" w:space="0" w:color="auto"/>
                    <w:left w:val="none" w:sz="0" w:space="0" w:color="auto"/>
                    <w:bottom w:val="none" w:sz="0" w:space="0" w:color="auto"/>
                    <w:right w:val="none" w:sz="0" w:space="0" w:color="auto"/>
                  </w:divBdr>
                  <w:divsChild>
                    <w:div w:id="88701190">
                      <w:marLeft w:val="0"/>
                      <w:marRight w:val="0"/>
                      <w:marTop w:val="0"/>
                      <w:marBottom w:val="419"/>
                      <w:divBdr>
                        <w:top w:val="none" w:sz="0" w:space="0" w:color="auto"/>
                        <w:left w:val="none" w:sz="0" w:space="0" w:color="auto"/>
                        <w:bottom w:val="none" w:sz="0" w:space="0" w:color="auto"/>
                        <w:right w:val="none" w:sz="0" w:space="0" w:color="auto"/>
                      </w:divBdr>
                    </w:div>
                    <w:div w:id="3870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theist.nl/index.php?option=com_content&amp;view=category&amp;layout=blog&amp;id=24&amp;Itemid=18" TargetMode="External"/><Relationship Id="rId13" Type="http://schemas.openxmlformats.org/officeDocument/2006/relationships/hyperlink" Target="http://www.deatheist.nl/index.php?option=com_content&amp;view=category&amp;layout=blog&amp;id=24&amp;Itemid=1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atheist.nl/index.php?option=com_content&amp;view=category&amp;layout=blog&amp;id=24&amp;Itemid=18" TargetMode="External"/><Relationship Id="rId12" Type="http://schemas.openxmlformats.org/officeDocument/2006/relationships/hyperlink" Target="http://www.deatheist.nl/index.php?option=com_content&amp;view=category&amp;layout=blog&amp;id=24&amp;Itemid=18" TargetMode="External"/><Relationship Id="rId17" Type="http://schemas.openxmlformats.org/officeDocument/2006/relationships/hyperlink" Target="http://www.deatheist.nl/index.php?option=com_content&amp;view=category&amp;layout" TargetMode="External"/><Relationship Id="rId2" Type="http://schemas.openxmlformats.org/officeDocument/2006/relationships/settings" Target="settings.xml"/><Relationship Id="rId16" Type="http://schemas.openxmlformats.org/officeDocument/2006/relationships/hyperlink" Target="http://www.infidels.org/news/atheism/logic.html" TargetMode="External"/><Relationship Id="rId1" Type="http://schemas.openxmlformats.org/officeDocument/2006/relationships/styles" Target="styles.xml"/><Relationship Id="rId6" Type="http://schemas.openxmlformats.org/officeDocument/2006/relationships/hyperlink" Target="http://www.deatheist.nl/index.php?option=com_content&amp;view=category&amp;layout=blog&amp;id=24&amp;Itemid=18" TargetMode="External"/><Relationship Id="rId11" Type="http://schemas.openxmlformats.org/officeDocument/2006/relationships/hyperlink" Target="http://www.deatheist.nl/index.php?option=com_content&amp;view=category&amp;layout=blog&amp;id=24&amp;Itemid=18" TargetMode="External"/><Relationship Id="rId5" Type="http://schemas.openxmlformats.org/officeDocument/2006/relationships/hyperlink" Target="http://www.deatheist.nl/index.php?option=com_content&amp;view=category&amp;layout=blog&amp;id=24&amp;Itemid=18" TargetMode="External"/><Relationship Id="rId15" Type="http://schemas.openxmlformats.org/officeDocument/2006/relationships/hyperlink" Target="http://www.deatheist.nl/index.php?option=com_content&amp;view=category&amp;layout=blog&amp;id=24&amp;Itemid=18" TargetMode="External"/><Relationship Id="rId10" Type="http://schemas.openxmlformats.org/officeDocument/2006/relationships/hyperlink" Target="http://www.deatheist.nl/index.php?option=com_content&amp;view=category&amp;layout=blog&amp;id=24&amp;Itemid=18" TargetMode="External"/><Relationship Id="rId19" Type="http://schemas.openxmlformats.org/officeDocument/2006/relationships/theme" Target="theme/theme1.xml"/><Relationship Id="rId4" Type="http://schemas.openxmlformats.org/officeDocument/2006/relationships/hyperlink" Target="http://www.deatheist.nl/index.php?option=com_content&amp;view=category&amp;layout=blog&amp;id=24&amp;Itemid=18" TargetMode="External"/><Relationship Id="rId9" Type="http://schemas.openxmlformats.org/officeDocument/2006/relationships/hyperlink" Target="http://www.deatheist.nl/index.php?option=com_content&amp;view=category&amp;layout=blog&amp;id=24&amp;Itemid=18" TargetMode="External"/><Relationship Id="rId14" Type="http://schemas.openxmlformats.org/officeDocument/2006/relationships/hyperlink" Target="http://www.deatheist.nl/index.php?option=com_content&amp;view=category&amp;layout=blog&amp;id=24&amp;Item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6452</Characters>
  <Application>Microsoft Office Word</Application>
  <DocSecurity>0</DocSecurity>
  <Lines>53</Lines>
  <Paragraphs>15</Paragraphs>
  <ScaleCrop>false</ScaleCrop>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Dirk</cp:lastModifiedBy>
  <cp:revision>1</cp:revision>
  <dcterms:created xsi:type="dcterms:W3CDTF">2011-01-30T14:24:00Z</dcterms:created>
  <dcterms:modified xsi:type="dcterms:W3CDTF">2011-01-30T14:24:00Z</dcterms:modified>
</cp:coreProperties>
</file>