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F4" w:rsidRPr="0045262D" w:rsidRDefault="00CE4613" w:rsidP="000068F4">
      <w:pPr>
        <w:rPr>
          <w:sz w:val="44"/>
          <w:szCs w:val="44"/>
        </w:rPr>
      </w:pPr>
      <w:r>
        <w:rPr>
          <w:sz w:val="44"/>
          <w:szCs w:val="44"/>
        </w:rPr>
        <w:t>3</w:t>
      </w:r>
      <w:r w:rsidR="0045262D">
        <w:rPr>
          <w:sz w:val="44"/>
          <w:szCs w:val="44"/>
        </w:rPr>
        <w:t xml:space="preserve">. </w:t>
      </w:r>
      <w:r w:rsidR="006859D1">
        <w:rPr>
          <w:sz w:val="44"/>
          <w:szCs w:val="44"/>
        </w:rPr>
        <w:t>De strafzaak</w:t>
      </w:r>
    </w:p>
    <w:p w:rsidR="000068F4" w:rsidRPr="006859D1" w:rsidRDefault="006859D1" w:rsidP="006859D1">
      <w:pPr>
        <w:tabs>
          <w:tab w:val="left" w:pos="1260"/>
        </w:tabs>
        <w:rPr>
          <w:b/>
        </w:rPr>
      </w:pPr>
      <w:r w:rsidRPr="006859D1">
        <w:rPr>
          <w:b/>
        </w:rPr>
        <w:tab/>
      </w:r>
    </w:p>
    <w:p w:rsidR="006859D1" w:rsidRDefault="006859D1" w:rsidP="006859D1">
      <w:pPr>
        <w:rPr>
          <w:b/>
          <w:sz w:val="28"/>
          <w:szCs w:val="28"/>
        </w:rPr>
      </w:pPr>
    </w:p>
    <w:p w:rsidR="006859D1" w:rsidRDefault="006859D1" w:rsidP="006859D1">
      <w:pPr>
        <w:rPr>
          <w:b/>
          <w:sz w:val="28"/>
          <w:szCs w:val="28"/>
        </w:rPr>
      </w:pPr>
      <w:r>
        <w:rPr>
          <w:b/>
          <w:sz w:val="28"/>
          <w:szCs w:val="28"/>
        </w:rPr>
        <w:t>Verdenking</w:t>
      </w:r>
    </w:p>
    <w:p w:rsidR="006859D1" w:rsidRDefault="006859D1" w:rsidP="006859D1">
      <w:r>
        <w:t>Een strafzaak is een rechtszaak waarbij een verdachte voor de rechter moet verschijnen. Iemand geldt als verdachte wanneer er een redelijk vermoeden bestaat dat hij een misdrijf heeft gepleegd of een overtreding heeft begaan.</w:t>
      </w:r>
    </w:p>
    <w:p w:rsidR="006859D1" w:rsidRDefault="006859D1" w:rsidP="006859D1"/>
    <w:p w:rsidR="006859D1" w:rsidRDefault="006859D1" w:rsidP="006859D1">
      <w:r>
        <w:t>Als een persoon wordt verdacht van een overtreding of misdrijf, kan hij worden gearresteerd door de politie. Een verdachte mag zes uur lang op het politiebureau worden vastgehouden voor verhoor. De officier van justitie kan besluiten om een verdachte langer vast te houden. Het vasthouden van een verdachte in een huis van bewaring noem je voorarrest.</w:t>
      </w:r>
    </w:p>
    <w:p w:rsidR="006859D1" w:rsidRDefault="006859D1" w:rsidP="006859D1"/>
    <w:p w:rsidR="006859D1" w:rsidRDefault="006859D1" w:rsidP="006859D1">
      <w:r>
        <w:t>In de periode waarin een verdachte wordt vastgehouden, onderzoekt de politie of de verdenking gegrond is. De informatie die tijdens het onderzoek door de politie is achterhaald, wordt in een proces-verbaal genoteerd. Dit proces-verbaal wordt naar de officier van justitie gestuurd. De officier van justitie beslist vervolgens of de verdachte wordt vervolgd en voor de rechter moet komen.</w:t>
      </w:r>
    </w:p>
    <w:p w:rsidR="006859D1" w:rsidRDefault="006859D1" w:rsidP="006859D1"/>
    <w:p w:rsidR="006859D1" w:rsidRDefault="006859D1" w:rsidP="006859D1">
      <w:r>
        <w:t>De officier van justitie kan na het lezen van het proces-verbaal besluiten de zaak te seponeren. Dat betekent dat de verdachte niet wordt vervolgd. Hij hoeft dan niet voor de rechter te verschijnen. Het Openbaar Ministerie seponeert een zaak als er bijvoorbeeld niet voldoende bewijs is tegen de verdachte of als de politie fouten heeft gemaakt.</w:t>
      </w:r>
    </w:p>
    <w:p w:rsidR="006859D1" w:rsidRDefault="006859D1" w:rsidP="006859D1"/>
    <w:p w:rsidR="006859D1" w:rsidRDefault="006859D1" w:rsidP="006859D1">
      <w:r>
        <w:t>De officier van justitie kan een verdachte ook een schikkingsvoorstel doen. Een schikkingsvoorstel is een voorstel aan de verdachte om een bepaalde straf te accepteren. Als de verdachte het voorste accepteert, hoeft hij niet voor de rechter te verschijnen. Het Openbaar Ministerie kan een schikkingsvoorstel doen als het bijvoorbeeld denkt dat de rechtszaak heel moeizaam zal verlopen.</w:t>
      </w:r>
    </w:p>
    <w:p w:rsidR="006859D1" w:rsidRDefault="006859D1" w:rsidP="006859D1"/>
    <w:p w:rsidR="006859D1" w:rsidRDefault="006859D1" w:rsidP="006859D1">
      <w:r>
        <w:t>Bij kleine vergrijpen kan het Openbaar Ministerie zelf een straf opleggen. Dit noem je straf beschikking. Het OM kan bijvoorbeeld een boete opleggen of een taakstraf uitdelen. De verdachte hoeft dan niet te worden vervolgd en er hoeft geen rechter aan te pas te komen. De verdachte kan, als hij het niet eens is met de straf, wel zelf naar de rechter stappen.</w:t>
      </w:r>
    </w:p>
    <w:p w:rsidR="006859D1" w:rsidRDefault="006859D1" w:rsidP="006859D1"/>
    <w:p w:rsidR="006859D1" w:rsidRDefault="006859D1" w:rsidP="006859D1">
      <w:r>
        <w:t>Als de officier van justitie de verdenking ernstig genoeg vindt en denkt dat de rechter tot een veroordeling zal komen, zal hij de verdachte vervolgen. Er volgt dan een strafzitting. Tijdens de strafzitting wordt de strafzaak behandeld door één of meerdere rechters.</w:t>
      </w:r>
    </w:p>
    <w:p w:rsidR="006859D1" w:rsidRDefault="006859D1" w:rsidP="006859D1"/>
    <w:p w:rsidR="006859D1" w:rsidRDefault="006859D1" w:rsidP="006859D1"/>
    <w:p w:rsidR="006859D1" w:rsidRDefault="006859D1" w:rsidP="006859D1">
      <w:pPr>
        <w:rPr>
          <w:b/>
          <w:sz w:val="28"/>
          <w:szCs w:val="28"/>
        </w:rPr>
      </w:pPr>
      <w:r>
        <w:rPr>
          <w:b/>
          <w:sz w:val="28"/>
          <w:szCs w:val="28"/>
        </w:rPr>
        <w:t>De strafzitting</w:t>
      </w:r>
    </w:p>
    <w:p w:rsidR="006859D1" w:rsidRDefault="006859D1" w:rsidP="006859D1">
      <w:r>
        <w:t>Bij een strafzitting zijn verschillende partijen betrokken. De belangrijkste personen in een strafzitting zijn de rechter, de officier van justitie en de verdachte. De verdachte wordt meestal bijgestaan dooreen advocaat.</w:t>
      </w:r>
    </w:p>
    <w:p w:rsidR="006859D1" w:rsidRDefault="006859D1" w:rsidP="006859D1">
      <w:r>
        <w:t>De strafzitting begint met de officier van justitie die de beschuldiging voorleest. Daarna ondervraagt de rechter de verdachte en getuigen. De officier van justitie en de advocaat van de verdachte kunnen ook vragen stellen. Vervolgens houdt de officier van justitie een betoog waarin hij een veroordeling en een bepaalde straf eist.</w:t>
      </w:r>
    </w:p>
    <w:p w:rsidR="006859D1" w:rsidRDefault="006859D1" w:rsidP="006859D1">
      <w:r>
        <w:t>De advocaat van de verdachte mag daarna proberen aan te tonen dat de verdachte niet schuldig is. Ook kan hij omstandigheden aanvoeren die tot strafvermindering kunnen leiden. Tot slot geeft de rechter de verdachte nog de gelegenheid om zijn mening over de zaak te geven.</w:t>
      </w:r>
    </w:p>
    <w:p w:rsidR="006859D1" w:rsidRDefault="006859D1" w:rsidP="006859D1">
      <w:bookmarkStart w:id="0" w:name="_GoBack"/>
      <w:bookmarkEnd w:id="0"/>
      <w:r>
        <w:lastRenderedPageBreak/>
        <w:t>Uiteindelijk doet de rechter een uitspraak: het vonnis. Als de rechter zeker is van de schuld van de verdachte, kan hij de verdachte een straf opleggen. De rechter kan een gevangenisstraf, een geldboete of een taakstraf geven. Als de rechter vindt dat het niet bewezen is dat de verdachte schuldig is, kan hij de verdachte vrijspreken.</w:t>
      </w:r>
    </w:p>
    <w:p w:rsidR="006859D1" w:rsidRDefault="006859D1" w:rsidP="006859D1"/>
    <w:p w:rsidR="006859D1" w:rsidRDefault="006859D1" w:rsidP="006859D1"/>
    <w:p w:rsidR="006859D1" w:rsidRDefault="006859D1" w:rsidP="006859D1">
      <w:r>
        <w:rPr>
          <w:b/>
          <w:u w:val="single"/>
        </w:rPr>
        <w:t>Jeugdstrafrecht</w:t>
      </w:r>
      <w:r>
        <w:rPr>
          <w:b/>
          <w:u w:val="single"/>
        </w:rPr>
        <w:br/>
      </w:r>
      <w:r>
        <w:t>In het Nederlandse strafrecht gelden aparte regels voor de veroordeling van minderjarigen. Bij een niet zo ernstig vergrijp legt Halt een taakstraf op. Als een minderjarige zich schuldig maakt aan een ernstig vergrijp, wordt de zaak behandeld door een kinderrechter. De kinderrechter wordt geadviseerd door de Raad voor de kinderbescherming. Een veroordeelde minderjarige gaat naar een speciale instelling, zoals een tuchtschool of een jeugdgevangenis. Voor kinderen onder de twaalf jaar geldt dat ze helemaal niet kunnen worden bestraft. Als zij zich schuldig maken aan een ernstig vergrijp, worden de ouders daarop aangesproken. In het uiterste geval kan de rechter besluiten dat de kinderen onder toezicht van een voogdijinstelling worden geplaatst.</w:t>
      </w:r>
    </w:p>
    <w:p w:rsidR="006859D1" w:rsidRDefault="006859D1" w:rsidP="006859D1"/>
    <w:p w:rsidR="006859D1" w:rsidRPr="006859D1" w:rsidRDefault="006859D1" w:rsidP="006859D1">
      <w:pPr>
        <w:widowControl/>
        <w:rPr>
          <w:rFonts w:ascii="Calibri" w:hAnsi="Calibri" w:cs="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70"/>
      </w:tblGrid>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b/>
                <w:color w:val="000000"/>
                <w:szCs w:val="24"/>
              </w:rPr>
            </w:pPr>
            <w:r>
              <w:rPr>
                <w:rFonts w:cs="Arial"/>
                <w:b/>
                <w:color w:val="000000"/>
                <w:szCs w:val="24"/>
              </w:rPr>
              <w:t>Begrippen</w:t>
            </w:r>
          </w:p>
        </w:tc>
        <w:tc>
          <w:tcPr>
            <w:tcW w:w="7070" w:type="dxa"/>
          </w:tcPr>
          <w:p w:rsidR="006859D1" w:rsidRPr="006859D1" w:rsidRDefault="006859D1" w:rsidP="006859D1">
            <w:pPr>
              <w:widowControl/>
              <w:spacing w:line="360" w:lineRule="auto"/>
              <w:ind w:firstLine="7"/>
              <w:rPr>
                <w:rFonts w:cs="Arial"/>
                <w:b/>
                <w:color w:val="000000"/>
                <w:szCs w:val="24"/>
              </w:rPr>
            </w:pPr>
            <w:r>
              <w:rPr>
                <w:rFonts w:cs="Arial"/>
                <w:b/>
                <w:color w:val="000000"/>
                <w:szCs w:val="24"/>
              </w:rPr>
              <w:t xml:space="preserve">Betekenis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Proces-verbaal </w:t>
            </w:r>
          </w:p>
        </w:tc>
        <w:tc>
          <w:tcPr>
            <w:tcW w:w="7070" w:type="dxa"/>
          </w:tcPr>
          <w:p w:rsidR="006859D1" w:rsidRPr="006859D1" w:rsidRDefault="006859D1" w:rsidP="006859D1">
            <w:pPr>
              <w:widowControl/>
              <w:spacing w:line="360" w:lineRule="auto"/>
              <w:ind w:firstLine="7"/>
              <w:rPr>
                <w:rFonts w:cs="Arial"/>
                <w:color w:val="000000"/>
                <w:szCs w:val="24"/>
              </w:rPr>
            </w:pPr>
            <w:r w:rsidRPr="006859D1">
              <w:rPr>
                <w:rFonts w:cs="Arial"/>
                <w:color w:val="000000"/>
                <w:szCs w:val="24"/>
              </w:rPr>
              <w:t xml:space="preserve">Een document waarin de informatie staat die tijdens een onderzoek door de politie is achterhaald.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Schikkingsvoorstel </w:t>
            </w:r>
          </w:p>
        </w:tc>
        <w:tc>
          <w:tcPr>
            <w:tcW w:w="707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Een voorstel aan de verdachte om een bepaalde straf te accepteren.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Seponeren </w:t>
            </w:r>
          </w:p>
        </w:tc>
        <w:tc>
          <w:tcPr>
            <w:tcW w:w="707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Besluiten om een verdachte niet te vervolgen.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Strafbeschikking </w:t>
            </w:r>
          </w:p>
        </w:tc>
        <w:tc>
          <w:tcPr>
            <w:tcW w:w="7070" w:type="dxa"/>
          </w:tcPr>
          <w:p w:rsidR="006859D1" w:rsidRPr="006859D1" w:rsidRDefault="006859D1" w:rsidP="006859D1">
            <w:pPr>
              <w:widowControl/>
              <w:spacing w:line="360" w:lineRule="auto"/>
              <w:ind w:firstLine="7"/>
              <w:rPr>
                <w:rFonts w:cs="Arial"/>
                <w:color w:val="000000"/>
                <w:szCs w:val="24"/>
              </w:rPr>
            </w:pPr>
            <w:r w:rsidRPr="006859D1">
              <w:rPr>
                <w:rFonts w:cs="Arial"/>
                <w:color w:val="000000"/>
                <w:szCs w:val="24"/>
              </w:rPr>
              <w:t xml:space="preserve">De mogelijkheid voor het Openbaar Ministerie om bij kleine vergrijpen zelf een straf opleggen.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Strafzaak </w:t>
            </w:r>
          </w:p>
        </w:tc>
        <w:tc>
          <w:tcPr>
            <w:tcW w:w="707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Een rechtszaak waarbij een verdachte voor de rechter moet verschijnen.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Strafzitting </w:t>
            </w:r>
          </w:p>
        </w:tc>
        <w:tc>
          <w:tcPr>
            <w:tcW w:w="707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De gelegenheid waarbij een strafzaak wordt behandeld door één of meerdere rechters.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Verdachte </w:t>
            </w:r>
          </w:p>
        </w:tc>
        <w:tc>
          <w:tcPr>
            <w:tcW w:w="707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Een persoon waarvan een redelijk vermoeden bestaat dat hij een misdrijf heeft gepleegd of een overtreding heeft begaan. </w:t>
            </w:r>
          </w:p>
        </w:tc>
      </w:tr>
      <w:tr w:rsidR="006859D1" w:rsidRPr="006859D1" w:rsidTr="006859D1">
        <w:tblPrEx>
          <w:tblCellMar>
            <w:top w:w="0" w:type="dxa"/>
            <w:bottom w:w="0" w:type="dxa"/>
          </w:tblCellMar>
        </w:tblPrEx>
        <w:tc>
          <w:tcPr>
            <w:tcW w:w="198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Voorarrest </w:t>
            </w:r>
          </w:p>
        </w:tc>
        <w:tc>
          <w:tcPr>
            <w:tcW w:w="7070" w:type="dxa"/>
          </w:tcPr>
          <w:p w:rsidR="006859D1" w:rsidRPr="006859D1" w:rsidRDefault="006859D1" w:rsidP="006859D1">
            <w:pPr>
              <w:widowControl/>
              <w:spacing w:line="360" w:lineRule="auto"/>
              <w:rPr>
                <w:rFonts w:cs="Arial"/>
                <w:color w:val="000000"/>
                <w:szCs w:val="24"/>
              </w:rPr>
            </w:pPr>
            <w:r w:rsidRPr="006859D1">
              <w:rPr>
                <w:rFonts w:cs="Arial"/>
                <w:color w:val="000000"/>
                <w:szCs w:val="24"/>
              </w:rPr>
              <w:t xml:space="preserve">Het vasthouden van een verdachte in een huis van bewaring. </w:t>
            </w:r>
          </w:p>
        </w:tc>
      </w:tr>
    </w:tbl>
    <w:p w:rsidR="006859D1" w:rsidRDefault="006859D1" w:rsidP="006859D1"/>
    <w:sectPr w:rsidR="006859D1"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30259" w:rsidRDefault="00330259"/>
  <w:p w:rsidR="00000000" w:rsidRDefault="006859D1"/>
  <w:p w:rsidR="00000000" w:rsidRDefault="006859D1"/>
  <w:p w:rsidR="00000000" w:rsidRDefault="006859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D1" w:rsidRDefault="00615A8F" w:rsidP="006859D1">
    <w:pPr>
      <w:pStyle w:val="Voettekst"/>
      <w:jc w:val="right"/>
    </w:pPr>
    <w:r>
      <w:fldChar w:fldCharType="begin"/>
    </w:r>
    <w:r>
      <w:instrText>PAGE   \* MERGEFORMAT</w:instrText>
    </w:r>
    <w:r>
      <w:fldChar w:fldCharType="separate"/>
    </w:r>
    <w:r w:rsidR="006859D1">
      <w:rPr>
        <w:noProof/>
      </w:rPr>
      <w:t>2</w:t>
    </w:r>
    <w:r>
      <w:fldChar w:fldCharType="end"/>
    </w:r>
  </w:p>
  <w:p w:rsidR="00000000" w:rsidRDefault="006859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30259" w:rsidRDefault="00330259"/>
  <w:p w:rsidR="00000000" w:rsidRDefault="006859D1"/>
  <w:p w:rsidR="00000000" w:rsidRDefault="006859D1"/>
  <w:p w:rsidR="00000000" w:rsidRDefault="006859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613" w:rsidP="006859D1">
    <w:pPr>
      <w:pStyle w:val="Koptekst"/>
      <w:pBdr>
        <w:bottom w:val="thickThinSmallGap" w:sz="24" w:space="1" w:color="622423"/>
      </w:pBdr>
      <w:jc w:val="center"/>
      <w:rPr>
        <w:rFonts w:ascii="Cambria" w:hAnsi="Cambria"/>
        <w:sz w:val="32"/>
        <w:szCs w:val="32"/>
      </w:rPr>
    </w:pPr>
    <w:r>
      <w:rPr>
        <w:rFonts w:ascii="Cambria" w:hAnsi="Cambria"/>
        <w:sz w:val="32"/>
        <w:szCs w:val="32"/>
      </w:rPr>
      <w:t>De strafzaak</w:t>
    </w:r>
  </w:p>
  <w:p w:rsidR="006859D1" w:rsidRPr="006859D1" w:rsidRDefault="006859D1" w:rsidP="006859D1">
    <w:pPr>
      <w:pStyle w:val="Koptekst"/>
      <w:pBdr>
        <w:bottom w:val="thickThinSmallGap" w:sz="24" w:space="1" w:color="622423"/>
      </w:pBdr>
      <w:rPr>
        <w:rFonts w:ascii="Cambria" w:hAnsi="Cambria"/>
        <w:sz w:val="32"/>
        <w:szCs w:val="32"/>
      </w:rPr>
    </w:pPr>
  </w:p>
  <w:p w:rsidR="00000000" w:rsidRDefault="006859D1"/>
  <w:p w:rsidR="006859D1" w:rsidRDefault="006859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30259" w:rsidRDefault="00330259"/>
  <w:p w:rsidR="00000000" w:rsidRDefault="006859D1"/>
  <w:p w:rsidR="00000000" w:rsidRDefault="006859D1"/>
  <w:p w:rsidR="00000000" w:rsidRDefault="006859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021660"/>
    <w:rsid w:val="00195BD7"/>
    <w:rsid w:val="00304655"/>
    <w:rsid w:val="003233FE"/>
    <w:rsid w:val="00327013"/>
    <w:rsid w:val="00330259"/>
    <w:rsid w:val="0035521B"/>
    <w:rsid w:val="003B2C25"/>
    <w:rsid w:val="003D2AD4"/>
    <w:rsid w:val="00442AB7"/>
    <w:rsid w:val="0045262D"/>
    <w:rsid w:val="004A0706"/>
    <w:rsid w:val="004B6577"/>
    <w:rsid w:val="00533E90"/>
    <w:rsid w:val="00560916"/>
    <w:rsid w:val="005C24FB"/>
    <w:rsid w:val="00615A8F"/>
    <w:rsid w:val="006859D1"/>
    <w:rsid w:val="00703E55"/>
    <w:rsid w:val="008771F4"/>
    <w:rsid w:val="008F4D74"/>
    <w:rsid w:val="009A310B"/>
    <w:rsid w:val="00A017AD"/>
    <w:rsid w:val="00A3641C"/>
    <w:rsid w:val="00AE4D01"/>
    <w:rsid w:val="00CE4613"/>
    <w:rsid w:val="00D17106"/>
    <w:rsid w:val="00E46BAC"/>
    <w:rsid w:val="00F23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DA66-325B-4272-A029-F7293887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2013-03-27T14:43:00Z</dcterms:created>
  <dcterms:modified xsi:type="dcterms:W3CDTF">2013-03-27T14:43:00Z</dcterms:modified>
</cp:coreProperties>
</file>