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png" ContentType="image/pn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000000" w:rsidDel="00000000" w:rsidRDefault="00000000" w14:paraId="00000001"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Pr>
          <w:noProof/>
        </w:rPr>
        <w:drawing>
          <wp:inline distB="114300" distL="114300" distR="114300" distT="114300">
            <wp:extent cx="5943600" cy="76200"/>
            <wp:effectExtent b="0" l="0" r="0" t="0"/>
            <wp:docPr descr="horizontale lijn" id="1" name="image2.png"/>
            <a:graphic>
              <a:graphicData uri="http://schemas.openxmlformats.org/drawingml/2006/picture">
                <pic:pic>
                  <pic:nvPicPr>
                    <pic:cNvPr descr="horizontale lijn" id="0" name="image2.png"/>
                    <pic:cNvPicPr preferRelativeResize="0"/>
                  </pic:nvPicPr>
                  <pic:blipFill>
                    <a:blip r:embed="rId11"/>
                    <a:srcRect/>
                    <a:stretch>
                      <a:fillRect/>
                    </a:stretch>
                  </pic:blipFill>
                  <pic:spPr>
                    <a:xfrm>
                      <a:off x="0" y="0"/>
                      <a:ext cx="5943600" cy="76200"/>
                    </a:xfrm>
                    <a:prstGeom prst="rect"/>
                    <a:ln/>
                  </pic:spPr>
                </pic:pic>
              </a:graphicData>
            </a:graphic>
          </wp:inline>
        </w:drawing>
      </w:r>
      <w:r w:rsidR="00000000" w:rsidDel="00000000" w:rsidRPr="00000000">
        <w:rPr>
          <w:rtl w:val="0"/>
        </w:rPr>
      </w:r>
    </w:p>
    <w:p w:rsidR="00000000" w:rsidDel="00000000" w:rsidRDefault="00000000" w14:paraId="00000002"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Title"/>
      </w:pPr>
      <w:bookmarkStart w:colFirst="0" w:colLast="0" w:name="_2gazcsgmxkub" w:id="0"/>
      <w:bookmarkEnd w:id="0"/>
      <w:r w:rsidR="00000000" w:rsidDel="00000000" w:rsidRPr="00000000">
        <w:rPr>
          <w:rtl w:val="0"/>
        </w:rPr>
        <w:t>Jagers en verzamelaars</w:t>
      </w:r>
    </w:p>
    <w:p w:rsidR="00000000" w:rsidDel="00000000" w:rsidRDefault="00000000" w14:paraId="00000003"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Subtitle"/>
        <w:rPr>
          <w:color w:val="695D46"/>
        </w:rPr>
      </w:pPr>
      <w:bookmarkStart w:colFirst="0" w:colLast="0" w:name="_2nuf54q86v7q" w:id="1"/>
      <w:bookmarkEnd w:id="1"/>
      <w:r w:rsidR="00000000" w:rsidDel="00000000" w:rsidRPr="00000000">
        <w:rPr>
          <w:rtl w:val="0"/>
        </w:rPr>
        <w:t>De levenswijze van jager-verzamelaars</w:t>
      </w:r>
      <w:r w:rsidR="00000000" w:rsidDel="00000000" w:rsidRPr="00000000">
        <w:rPr>
          <w:rtl w:val="0"/>
        </w:rPr>
      </w:r>
    </w:p>
    <w:p w:rsidR="00000000" w:rsidDel="00000000" w:rsidRDefault="00000000" w14:paraId="00000004"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rPr>
          <w:b/>
          <w:sz w:val="36"/>
          <w:szCs w:val="36"/>
        </w:rPr>
      </w:pPr>
      <w:r w:rsidR="00000000" w:rsidDel="00000000" w:rsidRPr="00000000">
        <w:rPr>
          <w:rtl w:val="0"/>
          <w:b/>
          <w:rFonts w:ascii="Arial Unicode MS" w:cs="Arial Unicode MS" w:eastAsia="Arial Unicode MS" w:hAnsi="Arial Unicode MS"/>
          <w:sz w:val="36"/>
          <w:szCs w:val="36"/>
        </w:rPr>
        <w:t>─</w:t>
      </w:r>
    </w:p>
    <w:p w:rsidR="00000000" w:rsidDel="00000000" w:rsidRDefault="00000000" w14:paraId="00000005"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Heading1"/>
        <w:rPr>
          <w:color w:val="FF5E0E"/>
        </w:rPr>
      </w:pPr>
      <w:bookmarkStart w:colFirst="0" w:colLast="0" w:name="_pmazbh81wixz" w:id="2"/>
      <w:bookmarkEnd w:id="2"/>
      <w:r w:rsidR="00000000" w:rsidDel="00000000" w:rsidRPr="00000000">
        <w:rPr>
          <w:rtl w:val="0"/>
        </w:rPr>
        <w:t>Geschiedenis</w:t>
      </w:r>
      <w:r w:rsidR="00000000" w:rsidDel="00000000" w:rsidRPr="00000000">
        <w:rPr>
          <w:rtl w:val="0"/>
        </w:rPr>
      </w:r>
    </w:p>
    <w:p w:rsidR="00000000" w:rsidDel="00000000" w:rsidRDefault="00000000" w14:paraId="00000006"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t>Wat is geschiedenis eigenlijk en waarom is geschiedenis belangrijk?</w:t>
      </w:r>
    </w:p>
    <w:p w:rsidR="00000000" w:rsidDel="00000000" w:rsidRDefault="00000000" w14:paraId="00000007"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t xml:space="preserve">Bij geschiedenis kijken we naar het verleden, dus we kijken naar wat er vroeger gebeurd is. Als men de geschiedenis kent, dan begrijpt men de wereld van vandaag beter. </w:t>
      </w:r>
    </w:p>
    <w:p w:rsidR="00000000" w:rsidDel="00000000" w:rsidRDefault="00000000" w14:paraId="00000008"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r>
    </w:p>
    <w:p w:rsidR="00000000" w:rsidDel="00000000" w:rsidRDefault="00000000" w14:paraId="00000009"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t xml:space="preserve">We weten wat er in de geschiedenis is gebeurt, door middel van bronnen. Bronnen geven ons informatie over hoe mensen vroeger leefden, wat zij belangrijk vonden, wat er om hun heen gebeurd enzovoort. </w:t>
      </w:r>
    </w:p>
    <w:p w:rsidR="00000000" w:rsidDel="00000000" w:rsidRDefault="00000000" w14:paraId="0000000A"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r>
    </w:p>
    <w:p w:rsidR="00000000" w:rsidDel="00000000" w:rsidRDefault="00000000" w14:paraId="0000000B"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t xml:space="preserve">Er zijn twee soorten bronnen. Ongeschreven bronnen en geschreven bronnen. </w:t>
      </w:r>
    </w:p>
    <w:p w:rsidR="00000000" w:rsidDel="00000000" w:rsidRDefault="00000000" w14:paraId="0000000C"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t>Ongeschreven bronnen zijn bronnen die niet opgeschreven zijn. Dus voorwerpen en mondeling overgebrachte verhalen, zijn ongeschreven bronnen.</w:t>
      </w:r>
    </w:p>
    <w:p w:rsidR="00000000" w:rsidDel="00000000" w:rsidRDefault="00000000" w14:paraId="0000000D"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t>Geschreven zijn teksten van vroeger, die gevonden zijn. Dus de informatie is opgeschreven.</w:t>
      </w:r>
    </w:p>
    <w:p w:rsidR="00000000" w:rsidDel="00000000" w:rsidRDefault="00000000" w14:paraId="0000000E"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r>
    </w:p>
    <w:p w:rsidR="00000000" w:rsidDel="00000000" w:rsidRDefault="00000000" w14:paraId="0000000F"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sidR="00000000" w:rsidDel="00000000" w:rsidRPr="00000000">
        <w:rPr>
          <w:rtl w:val="0"/>
        </w:rPr>
      </w:r>
    </w:p>
    <w:p w:rsidR="00000000" w:rsidDel="00000000" w:rsidRDefault="00000000" w14:paraId="00000010"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Pr>
          <w:noProof/>
        </w:rPr>
        <w:drawing>
          <wp:inline distB="114300" distL="114300" distR="114300" distT="114300">
            <wp:extent cx="3519170" cy="2578735"/>
            <wp:effectExtent b="0" l="0" r="0" t="0"/>
            <wp:docPr id="2" name="image1.jpg"/>
            <a:graphic>
              <a:graphicData uri="http://schemas.openxmlformats.org/drawingml/2006/picture">
                <pic:pic>
                  <pic:nvPicPr>
                    <pic:cNvPr id="0" name="image1.jpg"/>
                    <pic:cNvPicPr preferRelativeResize="0"/>
                  </pic:nvPicPr>
                  <pic:blipFill>
                    <a:blip r:embed="rId12"/>
                    <a:srcRect/>
                    <a:stretch>
                      <a:fillRect/>
                    </a:stretch>
                  </pic:blipFill>
                  <pic:spPr>
                    <a:xfrm>
                      <a:off x="0" y="0"/>
                      <a:ext cx="3519488" cy="2579166"/>
                    </a:xfrm>
                    <a:prstGeom prst="rect"/>
                    <a:ln/>
                  </pic:spPr>
                </pic:pic>
              </a:graphicData>
            </a:graphic>
          </wp:inline>
        </w:drawing>
      </w: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pStyle w:val="Heading1"/>
      </w:pPr>
      <w:r/>
    </w:p>
    <w:p w:rsidR="00000000" w:rsidDel="00000000" w:rsidRDefault="00000000" w14:paraId="00000011"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Heading1"/>
        <w:rPr>
          <w:color w:val="008575"/>
          <w:sz w:val="36"/>
          <w:szCs w:val="36"/>
        </w:rPr>
      </w:pPr>
      <w:bookmarkStart w:colFirst="0" w:colLast="0" w:name="_3at9u9s4e0vp" w:id="3"/>
      <w:bookmarkEnd w:id="3"/>
      <w:r w:rsidR="00000000" w:rsidDel="00000000" w:rsidRPr="00000000">
        <w:rPr>
          <w:rtl w:val="0"/>
        </w:rPr>
        <w:t>De Prehistorie</w:t>
      </w:r>
      <w:r w:rsidR="00000000" w:rsidDel="00000000" w:rsidRPr="00000000">
        <w:rPr>
          <w:rtl w:val="0"/>
        </w:rPr>
      </w:r>
    </w:p>
    <w:p w:rsidR="00000000" w:rsidDel="00000000" w:rsidRDefault="00000000" w14:paraId="00000012"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t xml:space="preserve">Er zijn dus twee soorten bronnen. Tijdens de prehistorie zijn er ongeschreven bronnen gevonden. Het schrift was in deze tijd nog niet uitgevonden. Alles wat voor het schrift gebeurde noemen we dus prehistorie. Of te wel de periode voor het schrift (voorgeschiedenis). </w:t>
      </w:r>
      <w:r w:rsidR="00000000" w:rsidDel="00000000" w:rsidRPr="00000000">
        <w:rPr>
          <w:rtl w:val="0"/>
        </w:rPr>
      </w:r>
    </w:p>
    <w:p w:rsidR="00000000" w:rsidDel="00000000" w:rsidRDefault="00000000" w14:paraId="00000013"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Heading1"/>
      </w:pPr>
      <w:bookmarkStart w:colFirst="0" w:colLast="0" w:name="_izh0w05mz75r" w:id="4"/>
      <w:bookmarkEnd w:id="4"/>
      <w:r w:rsidR="00000000" w:rsidDel="00000000" w:rsidRPr="00000000">
        <w:rPr>
          <w:rtl w:val="0"/>
        </w:rPr>
        <w:t>Jagers en verzamelaars</w:t>
      </w:r>
      <w:r w:rsidR="00000000" w:rsidDel="00000000" w:rsidRPr="00000000">
        <w:rPr>
          <w:rtl w:val="0"/>
        </w:rPr>
      </w:r>
    </w:p>
    <w:p w:rsidR="00000000" w:rsidDel="00000000" w:rsidRDefault="00000000" w14:paraId="00000014"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t xml:space="preserve">In de prehistorie leefden de mensen vooral van de jacht en verzamelen van eetbare planten. De mensen in deze tijd werden dan ook jagers en verzamelaars genoemd. Dit noemen we ook wel middelen van bestaan. Dit is de manier waarop mensen zich in leven houden. Jager-verzamelaars houden zich dus in leven door te jagen op en verzamelen van voedsel. </w:t>
      </w:r>
    </w:p>
    <w:p w:rsidR="00000000" w:rsidDel="00000000" w:rsidRDefault="00000000" w14:paraId="00000015"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t xml:space="preserve">Wanneer het voedsel op is, vertrekken de mensen in kleine groepen naar een ander gebied waar voedsel is. Jager-verzamelaars worden dan ook nomaden genoemd omdat, zij niet op een vaste plaats wonen. </w:t>
      </w:r>
    </w:p>
    <w:p w:rsidR="00000000" w:rsidDel="00000000" w:rsidRDefault="00000000" w14:paraId="00000016"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t>Er was een duidelijke taakverdeling. De mannen jaagden en de vrouwen verzamelden allerlei eetbare planten en noten. Daarnaast moesten de vrouwen zorgen voor de kinderen.</w:t>
      </w:r>
    </w:p>
    <w:p w:rsidR="00000000" w:rsidDel="00000000" w:rsidRDefault="00000000" w14:paraId="00000017"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r>
    </w:p>
    <w:sectPr w:val="1">
      <w:headerReference r:id="rId9" w:type="first"/>
      <w:headerReference r:id="rId8" w:type="default"/>
      <w:footerReference r:id="rId10" w:type="first"/>
      <w:pgNumType w:start="1"/>
      <w:pgSz w:w="12240" w:h="15840" w:orient="portrait"/>
      <w:pgMar w:left="1440" w:right="1440" w:top="1080" w:bottom="1080" w:header="0" w:footer="720"/>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alibri"/>
  <w:font w:name="Cambria"/>
  <w:font w:name="Symbol"/>
  <w:font w:name="Courier New"/>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3"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nl"/>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rPr>
      <w:rFonts w:ascii="PT Sans Narrow" w:cs="PT Sans Narrow" w:eastAsia="PT Sans Narrow" w:hAnsi="PT Sans Narrow"/>
      <w:color w:val="008575"/>
      <w:sz w:val="32"/>
      <w:szCs w:val="32"/>
    </w:rPr>
  </w:style>
  <w:style w:type="paragraph" w:styleId="Heading3">
    <w:name w:val="heading 3"/>
    <w:basedOn w:val="Normal"/>
    <w:next w:val="Normal"/>
    <w:pPr>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eader" Target="header1.xml"/><Relationship Id="rId11" Type="http://schemas.openxmlformats.org/officeDocument/2006/relationships/image" Target="media/image2.png"/><Relationship Id="rId12"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