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nil"/>
          <w:left w:val="nil"/>
          <w:bottom w:val="nil"/>
          <w:right w:val="nil"/>
        </w:tblBorders>
        <w:tblLayout w:type="fixed"/>
        <w:tblLook w:val="0000" w:firstRow="0" w:lastRow="0" w:firstColumn="0" w:lastColumn="0" w:noHBand="0" w:noVBand="0"/>
      </w:tblPr>
      <w:tblGrid>
        <w:gridCol w:w="4988"/>
        <w:gridCol w:w="4989"/>
      </w:tblGrid>
      <w:tr w:rsidR="00D06C51" w14:paraId="726CC51B" w14:textId="77777777">
        <w:tblPrEx>
          <w:tblCellMar>
            <w:top w:w="0" w:type="dxa"/>
            <w:bottom w:w="0" w:type="dxa"/>
          </w:tblCellMar>
        </w:tblPrEx>
        <w:trPr>
          <w:trHeight w:val="117"/>
        </w:trPr>
        <w:tc>
          <w:tcPr>
            <w:tcW w:w="9977" w:type="dxa"/>
            <w:gridSpan w:val="2"/>
          </w:tcPr>
          <w:p w14:paraId="2D061DD6" w14:textId="77777777" w:rsidR="00D06C51" w:rsidRDefault="00D06C51">
            <w:pPr>
              <w:pStyle w:val="Default"/>
              <w:rPr>
                <w:b/>
                <w:bCs/>
                <w:sz w:val="22"/>
                <w:szCs w:val="22"/>
              </w:rPr>
            </w:pPr>
            <w:r w:rsidRPr="00D06C51">
              <w:rPr>
                <w:b/>
                <w:bCs/>
                <w:sz w:val="22"/>
                <w:szCs w:val="22"/>
              </w:rPr>
              <w:t>Criteria voor een effectieve bewonersparticipatie</w:t>
            </w:r>
            <w:r>
              <w:rPr>
                <w:b/>
                <w:bCs/>
                <w:sz w:val="22"/>
                <w:szCs w:val="22"/>
              </w:rPr>
              <w:t>:</w:t>
            </w:r>
          </w:p>
          <w:p w14:paraId="78B27CDB" w14:textId="68CD74C8" w:rsidR="00E35EFB" w:rsidRPr="00D06C51" w:rsidRDefault="00E35EFB">
            <w:pPr>
              <w:pStyle w:val="Default"/>
              <w:rPr>
                <w:b/>
                <w:bCs/>
                <w:sz w:val="20"/>
                <w:szCs w:val="20"/>
              </w:rPr>
            </w:pPr>
          </w:p>
        </w:tc>
      </w:tr>
      <w:tr w:rsidR="00D06C51" w14:paraId="2AC3895A" w14:textId="77777777">
        <w:tblPrEx>
          <w:tblCellMar>
            <w:top w:w="0" w:type="dxa"/>
            <w:bottom w:w="0" w:type="dxa"/>
          </w:tblCellMar>
        </w:tblPrEx>
        <w:trPr>
          <w:trHeight w:val="957"/>
        </w:trPr>
        <w:tc>
          <w:tcPr>
            <w:tcW w:w="4988" w:type="dxa"/>
          </w:tcPr>
          <w:p w14:paraId="51D29E36" w14:textId="77777777" w:rsidR="00D06C51" w:rsidRDefault="00D06C51">
            <w:pPr>
              <w:pStyle w:val="Default"/>
              <w:rPr>
                <w:sz w:val="20"/>
                <w:szCs w:val="20"/>
              </w:rPr>
            </w:pPr>
            <w:r>
              <w:rPr>
                <w:sz w:val="20"/>
                <w:szCs w:val="20"/>
              </w:rPr>
              <w:t>Representativiteit</w:t>
            </w:r>
          </w:p>
        </w:tc>
        <w:tc>
          <w:tcPr>
            <w:tcW w:w="4988" w:type="dxa"/>
          </w:tcPr>
          <w:p w14:paraId="180C4BC5" w14:textId="2FEFA276" w:rsidR="00D06C51" w:rsidRDefault="00D06C51">
            <w:pPr>
              <w:pStyle w:val="Default"/>
              <w:rPr>
                <w:sz w:val="20"/>
                <w:szCs w:val="20"/>
              </w:rPr>
            </w:pPr>
            <w:r>
              <w:rPr>
                <w:sz w:val="20"/>
                <w:szCs w:val="20"/>
              </w:rPr>
              <w:t>De deelnemende bewoners zijn representatief voor de belaste of belanghebbende groepen bewoners.</w:t>
            </w:r>
            <w:r w:rsidR="000B5798">
              <w:rPr>
                <w:sz w:val="20"/>
                <w:szCs w:val="20"/>
              </w:rPr>
              <w:t xml:space="preserve"> </w:t>
            </w:r>
            <w:bookmarkStart w:id="0" w:name="_GoBack"/>
            <w:bookmarkEnd w:id="0"/>
            <w:proofErr w:type="spellStart"/>
            <w:r>
              <w:rPr>
                <w:sz w:val="20"/>
                <w:szCs w:val="20"/>
              </w:rPr>
              <w:t>Chadderton</w:t>
            </w:r>
            <w:proofErr w:type="spellEnd"/>
            <w:r>
              <w:rPr>
                <w:sz w:val="20"/>
                <w:szCs w:val="20"/>
              </w:rPr>
              <w:t>, Elliott en Williams (2008) geven aan, dat (volledig) voldoen aan dit criterium in de praktijk soms moeilijk is door bijvoorbeeld tijdgebrek, hoge kosten of het niet kunnen bereiken van bepaalde doelgroepen. Zij geven ook aan, dat dit het enige criterium is waar niet volledig aan hoeft te worden voldaan voor een effectieve burgerparticipatie bij HIA. Aan te raden is om dit dan wel goed te onderbouwen.</w:t>
            </w:r>
          </w:p>
        </w:tc>
      </w:tr>
      <w:tr w:rsidR="00D06C51" w14:paraId="50B48AA7" w14:textId="77777777">
        <w:tblPrEx>
          <w:tblCellMar>
            <w:top w:w="0" w:type="dxa"/>
            <w:bottom w:w="0" w:type="dxa"/>
          </w:tblCellMar>
        </w:tblPrEx>
        <w:trPr>
          <w:trHeight w:val="117"/>
        </w:trPr>
        <w:tc>
          <w:tcPr>
            <w:tcW w:w="4988" w:type="dxa"/>
          </w:tcPr>
          <w:p w14:paraId="2A7911CC" w14:textId="77777777" w:rsidR="00D06C51" w:rsidRDefault="00D06C51">
            <w:pPr>
              <w:pStyle w:val="Default"/>
              <w:rPr>
                <w:sz w:val="20"/>
                <w:szCs w:val="20"/>
              </w:rPr>
            </w:pPr>
            <w:r>
              <w:rPr>
                <w:sz w:val="20"/>
                <w:szCs w:val="20"/>
              </w:rPr>
              <w:t>Onafhankelijkheid</w:t>
            </w:r>
          </w:p>
        </w:tc>
        <w:tc>
          <w:tcPr>
            <w:tcW w:w="4988" w:type="dxa"/>
          </w:tcPr>
          <w:p w14:paraId="01AC7942" w14:textId="77777777" w:rsidR="00D06C51" w:rsidRDefault="00D06C51">
            <w:pPr>
              <w:pStyle w:val="Default"/>
              <w:rPr>
                <w:sz w:val="20"/>
                <w:szCs w:val="20"/>
              </w:rPr>
            </w:pPr>
            <w:r>
              <w:rPr>
                <w:sz w:val="20"/>
                <w:szCs w:val="20"/>
              </w:rPr>
              <w:t>Het participatieproces is onafhankelijk en onpartijdig.</w:t>
            </w:r>
          </w:p>
        </w:tc>
      </w:tr>
      <w:tr w:rsidR="00D06C51" w14:paraId="5F558D4B" w14:textId="77777777">
        <w:tblPrEx>
          <w:tblCellMar>
            <w:top w:w="0" w:type="dxa"/>
            <w:bottom w:w="0" w:type="dxa"/>
          </w:tblCellMar>
        </w:tblPrEx>
        <w:trPr>
          <w:trHeight w:val="237"/>
        </w:trPr>
        <w:tc>
          <w:tcPr>
            <w:tcW w:w="4988" w:type="dxa"/>
          </w:tcPr>
          <w:p w14:paraId="393812EB" w14:textId="77777777" w:rsidR="00D06C51" w:rsidRDefault="00D06C51">
            <w:pPr>
              <w:pStyle w:val="Default"/>
              <w:rPr>
                <w:sz w:val="20"/>
                <w:szCs w:val="20"/>
              </w:rPr>
            </w:pPr>
            <w:r>
              <w:rPr>
                <w:sz w:val="20"/>
                <w:szCs w:val="20"/>
              </w:rPr>
              <w:t>Vroeg in het proces</w:t>
            </w:r>
          </w:p>
        </w:tc>
        <w:tc>
          <w:tcPr>
            <w:tcW w:w="4988" w:type="dxa"/>
          </w:tcPr>
          <w:p w14:paraId="373AA194" w14:textId="77777777" w:rsidR="00D06C51" w:rsidRDefault="00D06C51">
            <w:pPr>
              <w:pStyle w:val="Default"/>
              <w:rPr>
                <w:sz w:val="20"/>
                <w:szCs w:val="20"/>
              </w:rPr>
            </w:pPr>
            <w:r>
              <w:rPr>
                <w:sz w:val="20"/>
                <w:szCs w:val="20"/>
              </w:rPr>
              <w:t>Participatie vindt zo vroeg mogelijk in het proces plaats in een fase dat de participatie van bewoners zinvol is en de resultaten gebruikt kunnen worden.</w:t>
            </w:r>
          </w:p>
        </w:tc>
      </w:tr>
      <w:tr w:rsidR="00D06C51" w14:paraId="10C7423A" w14:textId="77777777">
        <w:tblPrEx>
          <w:tblCellMar>
            <w:top w:w="0" w:type="dxa"/>
            <w:bottom w:w="0" w:type="dxa"/>
          </w:tblCellMar>
        </w:tblPrEx>
        <w:trPr>
          <w:trHeight w:val="237"/>
        </w:trPr>
        <w:tc>
          <w:tcPr>
            <w:tcW w:w="4988" w:type="dxa"/>
          </w:tcPr>
          <w:p w14:paraId="701A70FA" w14:textId="77777777" w:rsidR="00D06C51" w:rsidRDefault="00D06C51">
            <w:pPr>
              <w:pStyle w:val="Default"/>
              <w:rPr>
                <w:sz w:val="20"/>
                <w:szCs w:val="20"/>
              </w:rPr>
            </w:pPr>
            <w:r>
              <w:rPr>
                <w:sz w:val="20"/>
                <w:szCs w:val="20"/>
              </w:rPr>
              <w:t>Invloed</w:t>
            </w:r>
          </w:p>
        </w:tc>
        <w:tc>
          <w:tcPr>
            <w:tcW w:w="4988" w:type="dxa"/>
          </w:tcPr>
          <w:p w14:paraId="416D14E4" w14:textId="77777777" w:rsidR="00D06C51" w:rsidRDefault="00D06C51">
            <w:pPr>
              <w:pStyle w:val="Default"/>
              <w:rPr>
                <w:sz w:val="20"/>
                <w:szCs w:val="20"/>
              </w:rPr>
            </w:pPr>
            <w:r>
              <w:rPr>
                <w:sz w:val="20"/>
                <w:szCs w:val="20"/>
              </w:rPr>
              <w:t>De participatie heeft aanwijsbaar effect op het programma, project, beleid of besluitvorming.</w:t>
            </w:r>
          </w:p>
        </w:tc>
      </w:tr>
      <w:tr w:rsidR="00D06C51" w14:paraId="28254D81" w14:textId="77777777">
        <w:tblPrEx>
          <w:tblCellMar>
            <w:top w:w="0" w:type="dxa"/>
            <w:bottom w:w="0" w:type="dxa"/>
          </w:tblCellMar>
        </w:tblPrEx>
        <w:trPr>
          <w:trHeight w:val="357"/>
        </w:trPr>
        <w:tc>
          <w:tcPr>
            <w:tcW w:w="4988" w:type="dxa"/>
          </w:tcPr>
          <w:p w14:paraId="474464EA" w14:textId="77777777" w:rsidR="00D06C51" w:rsidRDefault="00D06C51">
            <w:pPr>
              <w:pStyle w:val="Default"/>
              <w:rPr>
                <w:sz w:val="20"/>
                <w:szCs w:val="20"/>
              </w:rPr>
            </w:pPr>
            <w:r>
              <w:rPr>
                <w:sz w:val="20"/>
                <w:szCs w:val="20"/>
              </w:rPr>
              <w:t>Transparantie</w:t>
            </w:r>
          </w:p>
        </w:tc>
        <w:tc>
          <w:tcPr>
            <w:tcW w:w="4988" w:type="dxa"/>
          </w:tcPr>
          <w:p w14:paraId="25E0478A" w14:textId="77777777" w:rsidR="00D06C51" w:rsidRDefault="00D06C51">
            <w:pPr>
              <w:pStyle w:val="Default"/>
              <w:rPr>
                <w:sz w:val="20"/>
                <w:szCs w:val="20"/>
              </w:rPr>
            </w:pPr>
            <w:r>
              <w:rPr>
                <w:sz w:val="20"/>
                <w:szCs w:val="20"/>
              </w:rPr>
              <w:t>Het participatieproces is transparant voor alle deelnemers en ook voor bewoners die niet direct deelnemen maar wel belanghebbend zijn, zodat duidelijk is waarover gesproken wordt en hoe beslissingen worden genomen.</w:t>
            </w:r>
          </w:p>
        </w:tc>
      </w:tr>
      <w:tr w:rsidR="00D06C51" w14:paraId="663283A9" w14:textId="77777777">
        <w:tblPrEx>
          <w:tblCellMar>
            <w:top w:w="0" w:type="dxa"/>
            <w:bottom w:w="0" w:type="dxa"/>
          </w:tblCellMar>
        </w:tblPrEx>
        <w:trPr>
          <w:trHeight w:val="357"/>
        </w:trPr>
        <w:tc>
          <w:tcPr>
            <w:tcW w:w="4988" w:type="dxa"/>
          </w:tcPr>
          <w:p w14:paraId="3A1B1592" w14:textId="77777777" w:rsidR="00D06C51" w:rsidRDefault="00D06C51">
            <w:pPr>
              <w:pStyle w:val="Default"/>
              <w:rPr>
                <w:sz w:val="20"/>
                <w:szCs w:val="20"/>
              </w:rPr>
            </w:pPr>
            <w:r>
              <w:rPr>
                <w:sz w:val="20"/>
                <w:szCs w:val="20"/>
              </w:rPr>
              <w:t>Beschikbaarheid middelen</w:t>
            </w:r>
          </w:p>
        </w:tc>
        <w:tc>
          <w:tcPr>
            <w:tcW w:w="4988" w:type="dxa"/>
          </w:tcPr>
          <w:p w14:paraId="3C17555C" w14:textId="77777777" w:rsidR="00D06C51" w:rsidRDefault="00D06C51">
            <w:pPr>
              <w:pStyle w:val="Default"/>
              <w:rPr>
                <w:sz w:val="20"/>
                <w:szCs w:val="20"/>
              </w:rPr>
            </w:pPr>
            <w:r>
              <w:rPr>
                <w:sz w:val="20"/>
                <w:szCs w:val="20"/>
              </w:rPr>
              <w:t>De benodigde middelen, zoals de relevante informatie, toegang tot deskundigen, tijd en materialen zijn voor iedereen beschikbaar om participatie mogelijk te maken.</w:t>
            </w:r>
          </w:p>
        </w:tc>
      </w:tr>
      <w:tr w:rsidR="00D06C51" w14:paraId="5954A749" w14:textId="77777777">
        <w:tblPrEx>
          <w:tblCellMar>
            <w:top w:w="0" w:type="dxa"/>
            <w:bottom w:w="0" w:type="dxa"/>
          </w:tblCellMar>
        </w:tblPrEx>
        <w:trPr>
          <w:trHeight w:val="357"/>
        </w:trPr>
        <w:tc>
          <w:tcPr>
            <w:tcW w:w="4988" w:type="dxa"/>
          </w:tcPr>
          <w:p w14:paraId="3AF1D10C" w14:textId="77777777" w:rsidR="00D06C51" w:rsidRDefault="00D06C51">
            <w:pPr>
              <w:pStyle w:val="Default"/>
              <w:rPr>
                <w:sz w:val="20"/>
                <w:szCs w:val="20"/>
              </w:rPr>
            </w:pPr>
            <w:r>
              <w:rPr>
                <w:sz w:val="20"/>
                <w:szCs w:val="20"/>
              </w:rPr>
              <w:t>Heldere omschrijving participatie</w:t>
            </w:r>
          </w:p>
        </w:tc>
        <w:tc>
          <w:tcPr>
            <w:tcW w:w="4988" w:type="dxa"/>
          </w:tcPr>
          <w:p w14:paraId="69ED8D5A" w14:textId="77777777" w:rsidR="00D06C51" w:rsidRDefault="00D06C51">
            <w:pPr>
              <w:pStyle w:val="Default"/>
              <w:rPr>
                <w:sz w:val="20"/>
                <w:szCs w:val="20"/>
              </w:rPr>
            </w:pPr>
            <w:r>
              <w:rPr>
                <w:sz w:val="20"/>
                <w:szCs w:val="20"/>
              </w:rPr>
              <w:t>De aard, omvang, reikwijdte en verwachte uitkomst van de participatie is helder beschreven, zodat er geen misverstanden ontstaan en achteraf geen teleurstelling, discussie of strijd.</w:t>
            </w:r>
          </w:p>
        </w:tc>
      </w:tr>
      <w:tr w:rsidR="00D06C51" w14:paraId="7461618D" w14:textId="77777777">
        <w:tblPrEx>
          <w:tblCellMar>
            <w:top w:w="0" w:type="dxa"/>
            <w:bottom w:w="0" w:type="dxa"/>
          </w:tblCellMar>
        </w:tblPrEx>
        <w:trPr>
          <w:trHeight w:val="597"/>
        </w:trPr>
        <w:tc>
          <w:tcPr>
            <w:tcW w:w="4988" w:type="dxa"/>
          </w:tcPr>
          <w:p w14:paraId="1FA28373" w14:textId="77777777" w:rsidR="00D06C51" w:rsidRDefault="00D06C51">
            <w:pPr>
              <w:pStyle w:val="Default"/>
              <w:rPr>
                <w:sz w:val="20"/>
                <w:szCs w:val="20"/>
              </w:rPr>
            </w:pPr>
            <w:r>
              <w:rPr>
                <w:sz w:val="20"/>
                <w:szCs w:val="20"/>
              </w:rPr>
              <w:t>Gestructureerde besluitvormingsprocedure</w:t>
            </w:r>
          </w:p>
        </w:tc>
        <w:tc>
          <w:tcPr>
            <w:tcW w:w="4988" w:type="dxa"/>
          </w:tcPr>
          <w:p w14:paraId="389983C8" w14:textId="77777777" w:rsidR="00D06C51" w:rsidRDefault="00D06C51">
            <w:pPr>
              <w:pStyle w:val="Default"/>
              <w:rPr>
                <w:sz w:val="20"/>
                <w:szCs w:val="20"/>
              </w:rPr>
            </w:pPr>
            <w:r>
              <w:rPr>
                <w:sz w:val="20"/>
                <w:szCs w:val="20"/>
              </w:rPr>
              <w:t>Het participatieproces heeft een heldere en zichtbare besluitvormingsprocedure. Hierdoor wordt duidelijk hoe tot een besluit is gekomen, wat de onderbouwing van dit besluit is en in welke mate dit ondersteund wordt. Documenteren van dit besluitvormingsproces vergroot de transparantie en effectiviteit van het participatieproces.</w:t>
            </w:r>
          </w:p>
        </w:tc>
      </w:tr>
      <w:tr w:rsidR="00D06C51" w14:paraId="40934D96" w14:textId="77777777">
        <w:tblPrEx>
          <w:tblCellMar>
            <w:top w:w="0" w:type="dxa"/>
            <w:bottom w:w="0" w:type="dxa"/>
          </w:tblCellMar>
        </w:tblPrEx>
        <w:trPr>
          <w:trHeight w:val="237"/>
        </w:trPr>
        <w:tc>
          <w:tcPr>
            <w:tcW w:w="4988" w:type="dxa"/>
          </w:tcPr>
          <w:p w14:paraId="56E84C84" w14:textId="77777777" w:rsidR="00D06C51" w:rsidRDefault="00D06C51">
            <w:pPr>
              <w:pStyle w:val="Default"/>
              <w:rPr>
                <w:sz w:val="20"/>
                <w:szCs w:val="20"/>
              </w:rPr>
            </w:pPr>
            <w:r>
              <w:rPr>
                <w:sz w:val="20"/>
                <w:szCs w:val="20"/>
              </w:rPr>
              <w:t>Kosten effectiviteit</w:t>
            </w:r>
          </w:p>
        </w:tc>
        <w:tc>
          <w:tcPr>
            <w:tcW w:w="4988" w:type="dxa"/>
          </w:tcPr>
          <w:p w14:paraId="28CC4C2E" w14:textId="77777777" w:rsidR="00D06C51" w:rsidRDefault="00D06C51">
            <w:pPr>
              <w:pStyle w:val="Default"/>
              <w:rPr>
                <w:sz w:val="20"/>
                <w:szCs w:val="20"/>
              </w:rPr>
            </w:pPr>
            <w:r>
              <w:rPr>
                <w:sz w:val="20"/>
                <w:szCs w:val="20"/>
              </w:rPr>
              <w:t xml:space="preserve">De tijdsduur en kosten van de participatieprocedure zijn in balans met wat de participatie oplevert. </w:t>
            </w:r>
          </w:p>
        </w:tc>
      </w:tr>
    </w:tbl>
    <w:p w14:paraId="6E145B44" w14:textId="77777777" w:rsidR="00F359D8" w:rsidRDefault="00F359D8"/>
    <w:p w14:paraId="1DFE2F80" w14:textId="77777777" w:rsidR="00D06C51" w:rsidRDefault="00D06C51"/>
    <w:p w14:paraId="3B70F547" w14:textId="77777777" w:rsidR="00D06C51" w:rsidRDefault="00D06C51"/>
    <w:p w14:paraId="777E6BF9" w14:textId="77777777" w:rsidR="00D06C51" w:rsidRDefault="00D06C51"/>
    <w:p w14:paraId="48011EBA" w14:textId="77777777" w:rsidR="00D06C51" w:rsidRDefault="00D06C51"/>
    <w:p w14:paraId="6E04955E" w14:textId="77777777" w:rsidR="00D06C51" w:rsidRDefault="00D06C51"/>
    <w:p w14:paraId="40E32225" w14:textId="77777777" w:rsidR="00D06C51" w:rsidRPr="00D06C51" w:rsidRDefault="00D06C51" w:rsidP="00D06C51">
      <w:pPr>
        <w:rPr>
          <w:i/>
          <w:iCs/>
        </w:rPr>
      </w:pPr>
      <w:r w:rsidRPr="00D06C51">
        <w:rPr>
          <w:i/>
          <w:iCs/>
        </w:rPr>
        <w:t xml:space="preserve">UIT: </w:t>
      </w:r>
      <w:r w:rsidRPr="00D06C51">
        <w:rPr>
          <w:i/>
          <w:iCs/>
        </w:rPr>
        <w:t xml:space="preserve">Handreiking </w:t>
      </w:r>
      <w:r w:rsidRPr="00D06C51">
        <w:rPr>
          <w:i/>
          <w:iCs/>
        </w:rPr>
        <w:t xml:space="preserve">Bewonersparticipatie </w:t>
      </w:r>
      <w:r w:rsidRPr="00D06C51">
        <w:rPr>
          <w:i/>
          <w:iCs/>
        </w:rPr>
        <w:t>bij de inrichting</w:t>
      </w:r>
      <w:r w:rsidRPr="00D06C51">
        <w:rPr>
          <w:i/>
          <w:iCs/>
        </w:rPr>
        <w:t xml:space="preserve"> </w:t>
      </w:r>
      <w:r w:rsidRPr="00D06C51">
        <w:rPr>
          <w:i/>
          <w:iCs/>
        </w:rPr>
        <w:t>van een gezonde leefomgeving</w:t>
      </w:r>
      <w:r w:rsidRPr="00D06C51">
        <w:rPr>
          <w:i/>
          <w:iCs/>
        </w:rPr>
        <w:t xml:space="preserve"> van het </w:t>
      </w:r>
    </w:p>
    <w:p w14:paraId="64A1CDF7" w14:textId="77777777" w:rsidR="00D06C51" w:rsidRPr="00D06C51" w:rsidRDefault="00D06C51" w:rsidP="00D06C51">
      <w:pPr>
        <w:rPr>
          <w:i/>
          <w:iCs/>
        </w:rPr>
      </w:pPr>
      <w:r w:rsidRPr="00D06C51">
        <w:rPr>
          <w:i/>
          <w:iCs/>
        </w:rPr>
        <w:t xml:space="preserve">Door Ministerie van Volksgezondheid, welzijn en sport &amp; Rijksinstituut voor Volksgezondheid en milieu </w:t>
      </w:r>
    </w:p>
    <w:sectPr w:rsidR="00D06C51" w:rsidRPr="00D06C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ijksoverheidSansText">
    <w:altName w:val="RijksoverheidSansTex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51"/>
    <w:rsid w:val="000B5798"/>
    <w:rsid w:val="00D06C51"/>
    <w:rsid w:val="00E35EFB"/>
    <w:rsid w:val="00F359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00179"/>
  <w15:chartTrackingRefBased/>
  <w15:docId w15:val="{C9A8534C-8014-48B5-A7BF-A1D8920B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06C51"/>
    <w:pPr>
      <w:autoSpaceDE w:val="0"/>
      <w:autoSpaceDN w:val="0"/>
      <w:adjustRightInd w:val="0"/>
      <w:spacing w:after="0" w:line="240" w:lineRule="auto"/>
    </w:pPr>
    <w:rPr>
      <w:rFonts w:ascii="RijksoverheidSansText" w:hAnsi="RijksoverheidSansText" w:cs="RijksoverheidSansTex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14E9E0-E2BD-4E31-82A1-D1DCC2722C77}"/>
</file>

<file path=customXml/itemProps2.xml><?xml version="1.0" encoding="utf-8"?>
<ds:datastoreItem xmlns:ds="http://schemas.openxmlformats.org/officeDocument/2006/customXml" ds:itemID="{116956CE-3FC6-4F05-A914-7F5B029D7F03}">
  <ds:schemaRefs>
    <ds:schemaRef ds:uri="http://schemas.microsoft.com/sharepoint/v3/contenttype/forms"/>
  </ds:schemaRefs>
</ds:datastoreItem>
</file>

<file path=customXml/itemProps3.xml><?xml version="1.0" encoding="utf-8"?>
<ds:datastoreItem xmlns:ds="http://schemas.openxmlformats.org/officeDocument/2006/customXml" ds:itemID="{777755C5-573C-45C5-98C6-577CF545F2AF}">
  <ds:schemaRefs>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47a28104-336f-447d-946e-e305ac2bcd47"/>
    <ds:schemaRef ds:uri="http://purl.org/dc/dcmitype/"/>
    <ds:schemaRef ds:uri="http://schemas.microsoft.com/office/infopath/2007/PartnerControls"/>
    <ds:schemaRef ds:uri="34354c1b-6b8c-435b-ad50-990538c1955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3</cp:revision>
  <dcterms:created xsi:type="dcterms:W3CDTF">2019-09-24T08:47:00Z</dcterms:created>
  <dcterms:modified xsi:type="dcterms:W3CDTF">2019-09-24T08:48:00Z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