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ABE85" w14:textId="0FD6BB55" w:rsidR="00B03981" w:rsidRPr="00E20B5D" w:rsidRDefault="00B03981" w:rsidP="0024069F">
      <w:pPr>
        <w:pStyle w:val="Kop4"/>
        <w:rPr>
          <w:b/>
          <w:i w:val="0"/>
          <w:sz w:val="36"/>
          <w:szCs w:val="36"/>
        </w:rPr>
      </w:pPr>
      <w:r w:rsidRPr="00E20B5D">
        <w:rPr>
          <w:b/>
          <w:i w:val="0"/>
          <w:sz w:val="36"/>
          <w:szCs w:val="36"/>
        </w:rPr>
        <w:t>Behandel</w:t>
      </w:r>
      <w:r w:rsidR="003730FD" w:rsidRPr="00E20B5D">
        <w:rPr>
          <w:b/>
          <w:i w:val="0"/>
          <w:sz w:val="36"/>
          <w:szCs w:val="36"/>
        </w:rPr>
        <w:t xml:space="preserve"> stappen</w:t>
      </w:r>
      <w:r w:rsidR="004442EB" w:rsidRPr="00E20B5D">
        <w:rPr>
          <w:b/>
          <w:i w:val="0"/>
          <w:sz w:val="36"/>
          <w:szCs w:val="36"/>
        </w:rPr>
        <w:t>plan</w:t>
      </w:r>
      <w:r w:rsidRPr="00E20B5D">
        <w:rPr>
          <w:b/>
          <w:i w:val="0"/>
          <w:sz w:val="36"/>
          <w:szCs w:val="36"/>
        </w:rPr>
        <w:t xml:space="preserve"> Astma</w:t>
      </w:r>
    </w:p>
    <w:p w14:paraId="62155C0D" w14:textId="5BC98546" w:rsidR="0024069F" w:rsidRPr="00B03981" w:rsidRDefault="0024069F" w:rsidP="00B03981">
      <w:pPr>
        <w:pStyle w:val="Kop4"/>
        <w:numPr>
          <w:ilvl w:val="0"/>
          <w:numId w:val="4"/>
        </w:numPr>
        <w:rPr>
          <w:i w:val="0"/>
        </w:rPr>
      </w:pPr>
      <w:r w:rsidRPr="00B03981">
        <w:rPr>
          <w:i w:val="0"/>
        </w:rPr>
        <w:t>Start kortwerkend bèta2-sympathicomimeticum</w:t>
      </w:r>
    </w:p>
    <w:p w14:paraId="05545D57" w14:textId="17EAD5CE" w:rsidR="0024069F" w:rsidRDefault="0024069F" w:rsidP="00B03981">
      <w:pPr>
        <w:pStyle w:val="Lijstalinea"/>
        <w:rPr>
          <w:rFonts w:eastAsiaTheme="minorEastAsia"/>
        </w:rPr>
      </w:pPr>
      <w:r w:rsidRPr="0024069F">
        <w:rPr>
          <w:rFonts w:ascii="Calibri" w:eastAsia="Calibri" w:hAnsi="Calibri" w:cs="Calibri"/>
        </w:rPr>
        <w:t>Kies één van de volgende middelen:</w:t>
      </w:r>
    </w:p>
    <w:p w14:paraId="309EC2B8" w14:textId="44AE0C01" w:rsidR="0024069F" w:rsidRDefault="003321B8" w:rsidP="00B03981">
      <w:pPr>
        <w:pStyle w:val="Lijstalinea"/>
        <w:numPr>
          <w:ilvl w:val="0"/>
          <w:numId w:val="5"/>
        </w:numPr>
        <w:rPr>
          <w:rFonts w:eastAsiaTheme="minorEastAsia"/>
        </w:rPr>
      </w:pPr>
      <w:hyperlink r:id="rId5">
        <w:r w:rsidR="0024069F" w:rsidRPr="0024069F">
          <w:rPr>
            <w:rStyle w:val="Hyperlink"/>
            <w:rFonts w:ascii="Calibri" w:eastAsia="Calibri" w:hAnsi="Calibri" w:cs="Calibri"/>
          </w:rPr>
          <w:t>salbutamol</w:t>
        </w:r>
      </w:hyperlink>
    </w:p>
    <w:p w14:paraId="2C102BBD" w14:textId="032AF53B" w:rsidR="0024069F" w:rsidRDefault="003321B8" w:rsidP="00B03981">
      <w:pPr>
        <w:pStyle w:val="Lijstalinea"/>
        <w:numPr>
          <w:ilvl w:val="0"/>
          <w:numId w:val="5"/>
        </w:numPr>
        <w:rPr>
          <w:rFonts w:eastAsiaTheme="minorEastAsia"/>
        </w:rPr>
      </w:pPr>
      <w:hyperlink r:id="rId6">
        <w:r w:rsidR="0024069F" w:rsidRPr="0024069F">
          <w:rPr>
            <w:rStyle w:val="Hyperlink"/>
            <w:rFonts w:ascii="Calibri" w:eastAsia="Calibri" w:hAnsi="Calibri" w:cs="Calibri"/>
          </w:rPr>
          <w:t>terbutaline</w:t>
        </w:r>
      </w:hyperlink>
    </w:p>
    <w:p w14:paraId="73443237" w14:textId="66E00529" w:rsidR="0024069F" w:rsidRPr="00B03981" w:rsidRDefault="0024069F" w:rsidP="00B03981">
      <w:pPr>
        <w:ind w:left="360" w:firstLine="348"/>
        <w:rPr>
          <w:rFonts w:eastAsiaTheme="minorEastAsia"/>
        </w:rPr>
      </w:pPr>
      <w:r w:rsidRPr="00B03981">
        <w:rPr>
          <w:rFonts w:ascii="Calibri" w:eastAsia="Calibri" w:hAnsi="Calibri" w:cs="Calibri"/>
        </w:rPr>
        <w:t>Gebruik 'zo nodig' (max. 2×/week).</w:t>
      </w:r>
    </w:p>
    <w:p w14:paraId="447BA97D" w14:textId="2CE3ACCC" w:rsidR="0024069F" w:rsidRPr="00B03981" w:rsidRDefault="0024069F" w:rsidP="00B03981">
      <w:pPr>
        <w:ind w:left="708"/>
        <w:rPr>
          <w:rFonts w:eastAsiaTheme="minorEastAsia"/>
        </w:rPr>
      </w:pPr>
      <w:r w:rsidRPr="00B03981">
        <w:rPr>
          <w:rFonts w:ascii="Calibri" w:eastAsia="Calibri" w:hAnsi="Calibri" w:cs="Calibri"/>
        </w:rPr>
        <w:t>Verhoog het 'zo nodig'-gebruik eventueel bij verergering van astmasymptomen gedurende enkele dagen tot de maximale dosering.</w:t>
      </w:r>
    </w:p>
    <w:p w14:paraId="1AF285B2" w14:textId="748D077F" w:rsidR="0024069F" w:rsidRDefault="0024069F" w:rsidP="00B03981">
      <w:pPr>
        <w:pStyle w:val="Lijstalinea"/>
        <w:rPr>
          <w:rFonts w:eastAsiaTheme="minorEastAsia"/>
        </w:rPr>
      </w:pPr>
      <w:r w:rsidRPr="0024069F">
        <w:rPr>
          <w:rFonts w:ascii="Calibri" w:eastAsia="Calibri" w:hAnsi="Calibri" w:cs="Calibri"/>
        </w:rPr>
        <w:t>Ga naar de volgende stap indien klachten leiden tot gebruik ≥ 3×/week.</w:t>
      </w:r>
    </w:p>
    <w:p w14:paraId="11E511EE" w14:textId="75363BF5" w:rsidR="0024069F" w:rsidRPr="00B03981" w:rsidRDefault="0024069F" w:rsidP="00B03981">
      <w:pPr>
        <w:pStyle w:val="Kop4"/>
        <w:numPr>
          <w:ilvl w:val="0"/>
          <w:numId w:val="4"/>
        </w:numPr>
        <w:rPr>
          <w:i w:val="0"/>
        </w:rPr>
      </w:pPr>
      <w:r w:rsidRPr="00B03981">
        <w:rPr>
          <w:i w:val="0"/>
        </w:rPr>
        <w:t>Voeg een inhalatiecorticosteroïd toe</w:t>
      </w:r>
    </w:p>
    <w:p w14:paraId="5A69AF1D" w14:textId="774D64E9" w:rsidR="0024069F" w:rsidRDefault="0024069F" w:rsidP="00B03981">
      <w:pPr>
        <w:pStyle w:val="Lijstalinea"/>
        <w:rPr>
          <w:rFonts w:eastAsiaTheme="minorEastAsia"/>
        </w:rPr>
      </w:pPr>
      <w:r w:rsidRPr="0024069F">
        <w:rPr>
          <w:rFonts w:ascii="Calibri" w:eastAsia="Calibri" w:hAnsi="Calibri" w:cs="Calibri"/>
        </w:rPr>
        <w:t>Geef onderhoudsbehandeling met één van de volgende middelen in startdosering:</w:t>
      </w:r>
    </w:p>
    <w:p w14:paraId="4A5C7505" w14:textId="01B36E8D" w:rsidR="0024069F" w:rsidRDefault="003321B8" w:rsidP="00B03981">
      <w:pPr>
        <w:pStyle w:val="Lijstalinea"/>
        <w:numPr>
          <w:ilvl w:val="0"/>
          <w:numId w:val="6"/>
        </w:numPr>
        <w:rPr>
          <w:rFonts w:eastAsiaTheme="minorEastAsia"/>
        </w:rPr>
      </w:pPr>
      <w:hyperlink r:id="rId7">
        <w:r w:rsidR="0024069F" w:rsidRPr="0024069F">
          <w:rPr>
            <w:rStyle w:val="Hyperlink"/>
            <w:rFonts w:ascii="Calibri" w:eastAsia="Calibri" w:hAnsi="Calibri" w:cs="Calibri"/>
          </w:rPr>
          <w:t>beclometason</w:t>
        </w:r>
      </w:hyperlink>
    </w:p>
    <w:p w14:paraId="1E9C364A" w14:textId="43EDCEE6" w:rsidR="0024069F" w:rsidRDefault="003321B8" w:rsidP="00B03981">
      <w:pPr>
        <w:pStyle w:val="Lijstalinea"/>
        <w:numPr>
          <w:ilvl w:val="0"/>
          <w:numId w:val="6"/>
        </w:numPr>
        <w:rPr>
          <w:rFonts w:eastAsiaTheme="minorEastAsia"/>
        </w:rPr>
      </w:pPr>
      <w:hyperlink r:id="rId8">
        <w:r w:rsidR="0024069F" w:rsidRPr="0024069F">
          <w:rPr>
            <w:rStyle w:val="Hyperlink"/>
            <w:rFonts w:ascii="Calibri" w:eastAsia="Calibri" w:hAnsi="Calibri" w:cs="Calibri"/>
          </w:rPr>
          <w:t>budesonide</w:t>
        </w:r>
      </w:hyperlink>
    </w:p>
    <w:p w14:paraId="2B6B816C" w14:textId="41CA145E" w:rsidR="0024069F" w:rsidRDefault="003321B8" w:rsidP="00B03981">
      <w:pPr>
        <w:pStyle w:val="Lijstalinea"/>
        <w:numPr>
          <w:ilvl w:val="0"/>
          <w:numId w:val="6"/>
        </w:numPr>
        <w:rPr>
          <w:rFonts w:eastAsiaTheme="minorEastAsia"/>
        </w:rPr>
      </w:pPr>
      <w:hyperlink r:id="rId9">
        <w:r w:rsidR="0024069F" w:rsidRPr="0024069F">
          <w:rPr>
            <w:rStyle w:val="Hyperlink"/>
            <w:rFonts w:ascii="Calibri" w:eastAsia="Calibri" w:hAnsi="Calibri" w:cs="Calibri"/>
          </w:rPr>
          <w:t>ciclesonide</w:t>
        </w:r>
      </w:hyperlink>
    </w:p>
    <w:p w14:paraId="1B57A378" w14:textId="36D4A7FE" w:rsidR="0024069F" w:rsidRDefault="003321B8" w:rsidP="00B03981">
      <w:pPr>
        <w:pStyle w:val="Lijstalinea"/>
        <w:numPr>
          <w:ilvl w:val="0"/>
          <w:numId w:val="6"/>
        </w:numPr>
        <w:rPr>
          <w:rFonts w:eastAsiaTheme="minorEastAsia"/>
        </w:rPr>
      </w:pPr>
      <w:hyperlink r:id="rId10">
        <w:proofErr w:type="spellStart"/>
        <w:r w:rsidR="0024069F" w:rsidRPr="0024069F">
          <w:rPr>
            <w:rStyle w:val="Hyperlink"/>
            <w:rFonts w:ascii="Calibri" w:eastAsia="Calibri" w:hAnsi="Calibri" w:cs="Calibri"/>
          </w:rPr>
          <w:t>fluticason</w:t>
        </w:r>
        <w:proofErr w:type="spellEnd"/>
      </w:hyperlink>
    </w:p>
    <w:p w14:paraId="72803D49" w14:textId="4895B8AB" w:rsidR="0024069F" w:rsidRDefault="0024069F" w:rsidP="00B03981">
      <w:pPr>
        <w:pStyle w:val="Lijstalinea"/>
        <w:rPr>
          <w:rFonts w:eastAsiaTheme="minorEastAsia"/>
        </w:rPr>
      </w:pPr>
      <w:r w:rsidRPr="0024069F">
        <w:rPr>
          <w:rFonts w:ascii="Calibri" w:eastAsia="Calibri" w:hAnsi="Calibri" w:cs="Calibri"/>
        </w:rPr>
        <w:t>Evalueer na 4–6 weken of de (persoonlijke) behandeldoelen behaald zijn. Continueer de noodzakelijke dosering gedurende 3 maanden. Probeer af te bouwen na 3 maanden, of eerder bij het bereiken van voldoende astmacontrole.</w:t>
      </w:r>
    </w:p>
    <w:p w14:paraId="42C44094" w14:textId="6DC8F732" w:rsidR="0024069F" w:rsidRDefault="00B03981" w:rsidP="00B03981">
      <w:pPr>
        <w:pStyle w:val="Lijstalinea"/>
        <w:rPr>
          <w:rFonts w:eastAsiaTheme="minorEastAsia"/>
        </w:rPr>
      </w:pPr>
      <w:r>
        <w:rPr>
          <w:rFonts w:ascii="Calibri" w:eastAsia="Calibri" w:hAnsi="Calibri" w:cs="Calibri"/>
        </w:rPr>
        <w:t>Ga naar stap 3</w:t>
      </w:r>
      <w:r w:rsidR="0024069F" w:rsidRPr="0024069F">
        <w:rPr>
          <w:rFonts w:ascii="Calibri" w:eastAsia="Calibri" w:hAnsi="Calibri" w:cs="Calibri"/>
        </w:rPr>
        <w:t xml:space="preserve"> bij onvoldoende effect.</w:t>
      </w:r>
    </w:p>
    <w:p w14:paraId="78C6F76B" w14:textId="1C75F8EF" w:rsidR="0024069F" w:rsidRDefault="0024069F" w:rsidP="00B03981">
      <w:pPr>
        <w:pStyle w:val="Kop4"/>
        <w:numPr>
          <w:ilvl w:val="0"/>
          <w:numId w:val="4"/>
        </w:numPr>
      </w:pPr>
      <w:r>
        <w:t>Inhalatiecorticosteroïd met langwerkend bèta2-sympathicomimetium</w:t>
      </w:r>
    </w:p>
    <w:p w14:paraId="2BD91D0A" w14:textId="482DE18C" w:rsidR="0024069F" w:rsidRPr="00B03981" w:rsidRDefault="0024069F" w:rsidP="00B03981">
      <w:pPr>
        <w:ind w:firstLine="708"/>
        <w:rPr>
          <w:rFonts w:eastAsiaTheme="minorEastAsia"/>
        </w:rPr>
      </w:pPr>
      <w:r w:rsidRPr="00B03981">
        <w:rPr>
          <w:rFonts w:ascii="Calibri" w:eastAsia="Calibri" w:hAnsi="Calibri" w:cs="Calibri"/>
        </w:rPr>
        <w:t>Kies één van de volgende langwerkende middelen:</w:t>
      </w:r>
    </w:p>
    <w:p w14:paraId="43634A57" w14:textId="7DD318CB" w:rsidR="0024069F" w:rsidRDefault="003321B8" w:rsidP="00B03981">
      <w:pPr>
        <w:pStyle w:val="Lijstalinea"/>
        <w:numPr>
          <w:ilvl w:val="0"/>
          <w:numId w:val="7"/>
        </w:numPr>
        <w:rPr>
          <w:rFonts w:eastAsiaTheme="minorEastAsia"/>
        </w:rPr>
      </w:pPr>
      <w:hyperlink r:id="rId11">
        <w:proofErr w:type="spellStart"/>
        <w:r w:rsidR="0024069F" w:rsidRPr="0024069F">
          <w:rPr>
            <w:rStyle w:val="Hyperlink"/>
            <w:rFonts w:ascii="Calibri" w:eastAsia="Calibri" w:hAnsi="Calibri" w:cs="Calibri"/>
          </w:rPr>
          <w:t>formoterol</w:t>
        </w:r>
        <w:proofErr w:type="spellEnd"/>
      </w:hyperlink>
    </w:p>
    <w:p w14:paraId="48D1BF04" w14:textId="34998F33" w:rsidR="0024069F" w:rsidRDefault="003321B8" w:rsidP="00B03981">
      <w:pPr>
        <w:pStyle w:val="Lijstalinea"/>
        <w:numPr>
          <w:ilvl w:val="0"/>
          <w:numId w:val="7"/>
        </w:numPr>
        <w:rPr>
          <w:rFonts w:eastAsiaTheme="minorEastAsia"/>
        </w:rPr>
      </w:pPr>
      <w:hyperlink r:id="rId12">
        <w:r w:rsidR="0024069F" w:rsidRPr="0024069F">
          <w:rPr>
            <w:rStyle w:val="Hyperlink"/>
            <w:rFonts w:ascii="Calibri" w:eastAsia="Calibri" w:hAnsi="Calibri" w:cs="Calibri"/>
          </w:rPr>
          <w:t>salmeterol</w:t>
        </w:r>
      </w:hyperlink>
    </w:p>
    <w:p w14:paraId="0799E512" w14:textId="09291FDC" w:rsidR="0024069F" w:rsidRPr="00B03981" w:rsidRDefault="0024069F" w:rsidP="00B03981">
      <w:pPr>
        <w:ind w:left="720"/>
        <w:rPr>
          <w:rFonts w:eastAsiaTheme="minorEastAsia"/>
        </w:rPr>
      </w:pPr>
      <w:r w:rsidRPr="00B03981">
        <w:rPr>
          <w:rFonts w:ascii="Calibri" w:eastAsia="Calibri" w:hAnsi="Calibri" w:cs="Calibri"/>
        </w:rPr>
        <w:t>Of kies voor één van de volgende combinatiepreparaten:</w:t>
      </w:r>
    </w:p>
    <w:p w14:paraId="1A7F0B35" w14:textId="056BF804" w:rsidR="0024069F" w:rsidRDefault="003321B8" w:rsidP="00B03981">
      <w:pPr>
        <w:pStyle w:val="Lijstalinea"/>
        <w:numPr>
          <w:ilvl w:val="0"/>
          <w:numId w:val="7"/>
        </w:numPr>
        <w:rPr>
          <w:rFonts w:eastAsiaTheme="minorEastAsia"/>
        </w:rPr>
      </w:pPr>
      <w:hyperlink r:id="rId13">
        <w:proofErr w:type="spellStart"/>
        <w:r w:rsidR="0024069F" w:rsidRPr="0024069F">
          <w:rPr>
            <w:rStyle w:val="Hyperlink"/>
            <w:rFonts w:ascii="Calibri" w:eastAsia="Calibri" w:hAnsi="Calibri" w:cs="Calibri"/>
          </w:rPr>
          <w:t>formoterol</w:t>
        </w:r>
        <w:proofErr w:type="spellEnd"/>
        <w:r w:rsidR="0024069F" w:rsidRPr="0024069F">
          <w:rPr>
            <w:rStyle w:val="Hyperlink"/>
            <w:rFonts w:ascii="Calibri" w:eastAsia="Calibri" w:hAnsi="Calibri" w:cs="Calibri"/>
          </w:rPr>
          <w:t>/</w:t>
        </w:r>
        <w:proofErr w:type="spellStart"/>
        <w:r w:rsidR="0024069F" w:rsidRPr="0024069F">
          <w:rPr>
            <w:rStyle w:val="Hyperlink"/>
            <w:rFonts w:ascii="Calibri" w:eastAsia="Calibri" w:hAnsi="Calibri" w:cs="Calibri"/>
          </w:rPr>
          <w:t>beclometason</w:t>
        </w:r>
        <w:proofErr w:type="spellEnd"/>
      </w:hyperlink>
    </w:p>
    <w:p w14:paraId="416CAF2D" w14:textId="46D41549" w:rsidR="0024069F" w:rsidRDefault="003321B8" w:rsidP="00B03981">
      <w:pPr>
        <w:pStyle w:val="Lijstalinea"/>
        <w:numPr>
          <w:ilvl w:val="0"/>
          <w:numId w:val="7"/>
        </w:numPr>
        <w:rPr>
          <w:rFonts w:eastAsiaTheme="minorEastAsia"/>
        </w:rPr>
      </w:pPr>
      <w:hyperlink r:id="rId14">
        <w:r w:rsidR="0024069F" w:rsidRPr="0024069F">
          <w:rPr>
            <w:rStyle w:val="Hyperlink"/>
            <w:rFonts w:ascii="Calibri" w:eastAsia="Calibri" w:hAnsi="Calibri" w:cs="Calibri"/>
          </w:rPr>
          <w:t>formoterol/budesonide</w:t>
        </w:r>
      </w:hyperlink>
    </w:p>
    <w:bookmarkStart w:id="0" w:name="_GoBack"/>
    <w:bookmarkEnd w:id="0"/>
    <w:p w14:paraId="41D31376" w14:textId="17A8DA7F" w:rsidR="0024069F" w:rsidRDefault="003321B8" w:rsidP="00B03981">
      <w:pPr>
        <w:pStyle w:val="Lijstalinea"/>
        <w:numPr>
          <w:ilvl w:val="0"/>
          <w:numId w:val="7"/>
        </w:numPr>
        <w:rPr>
          <w:rFonts w:eastAsiaTheme="minorEastAsia"/>
        </w:rPr>
      </w:pPr>
      <w:r>
        <w:fldChar w:fldCharType="begin"/>
      </w:r>
      <w:r>
        <w:instrText xml:space="preserve"> HYPERLINK "https://www.farmacotherapeutischkompas.nl/bladeren/preparaatteksten/s/salmete</w:instrText>
      </w:r>
      <w:r>
        <w:instrText xml:space="preserve">rol_fluticason" \h </w:instrText>
      </w:r>
      <w:r>
        <w:fldChar w:fldCharType="separate"/>
      </w:r>
      <w:r w:rsidR="0024069F" w:rsidRPr="0024069F">
        <w:rPr>
          <w:rStyle w:val="Hyperlink"/>
          <w:rFonts w:ascii="Calibri" w:eastAsia="Calibri" w:hAnsi="Calibri" w:cs="Calibri"/>
        </w:rPr>
        <w:t>salmeterol/fluticason</w:t>
      </w:r>
      <w:r>
        <w:rPr>
          <w:rStyle w:val="Hyperlink"/>
          <w:rFonts w:ascii="Calibri" w:eastAsia="Calibri" w:hAnsi="Calibri" w:cs="Calibri"/>
        </w:rPr>
        <w:fldChar w:fldCharType="end"/>
      </w:r>
    </w:p>
    <w:p w14:paraId="28599C72" w14:textId="60E9C775" w:rsidR="0024069F" w:rsidRDefault="0024069F" w:rsidP="0024069F"/>
    <w:sectPr w:rsidR="00240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955A3"/>
    <w:multiLevelType w:val="hybridMultilevel"/>
    <w:tmpl w:val="46E8ACA4"/>
    <w:lvl w:ilvl="0" w:tplc="9DFC3AAC">
      <w:start w:val="1"/>
      <w:numFmt w:val="decimal"/>
      <w:lvlText w:val="%1."/>
      <w:lvlJc w:val="left"/>
      <w:pPr>
        <w:ind w:left="720" w:hanging="360"/>
      </w:pPr>
    </w:lvl>
    <w:lvl w:ilvl="1" w:tplc="428ED43A">
      <w:start w:val="1"/>
      <w:numFmt w:val="lowerLetter"/>
      <w:lvlText w:val="%2."/>
      <w:lvlJc w:val="left"/>
      <w:pPr>
        <w:ind w:left="1440" w:hanging="360"/>
      </w:pPr>
    </w:lvl>
    <w:lvl w:ilvl="2" w:tplc="48042FEC">
      <w:start w:val="1"/>
      <w:numFmt w:val="lowerRoman"/>
      <w:lvlText w:val="%3."/>
      <w:lvlJc w:val="right"/>
      <w:pPr>
        <w:ind w:left="2160" w:hanging="180"/>
      </w:pPr>
    </w:lvl>
    <w:lvl w:ilvl="3" w:tplc="C2F257B0">
      <w:start w:val="1"/>
      <w:numFmt w:val="decimal"/>
      <w:lvlText w:val="%4."/>
      <w:lvlJc w:val="left"/>
      <w:pPr>
        <w:ind w:left="2880" w:hanging="360"/>
      </w:pPr>
    </w:lvl>
    <w:lvl w:ilvl="4" w:tplc="69C41766">
      <w:start w:val="1"/>
      <w:numFmt w:val="lowerLetter"/>
      <w:lvlText w:val="%5."/>
      <w:lvlJc w:val="left"/>
      <w:pPr>
        <w:ind w:left="3600" w:hanging="360"/>
      </w:pPr>
    </w:lvl>
    <w:lvl w:ilvl="5" w:tplc="F27280CA">
      <w:start w:val="1"/>
      <w:numFmt w:val="lowerRoman"/>
      <w:lvlText w:val="%6."/>
      <w:lvlJc w:val="right"/>
      <w:pPr>
        <w:ind w:left="4320" w:hanging="180"/>
      </w:pPr>
    </w:lvl>
    <w:lvl w:ilvl="6" w:tplc="38DCCA84">
      <w:start w:val="1"/>
      <w:numFmt w:val="decimal"/>
      <w:lvlText w:val="%7."/>
      <w:lvlJc w:val="left"/>
      <w:pPr>
        <w:ind w:left="5040" w:hanging="360"/>
      </w:pPr>
    </w:lvl>
    <w:lvl w:ilvl="7" w:tplc="B87E388E">
      <w:start w:val="1"/>
      <w:numFmt w:val="lowerLetter"/>
      <w:lvlText w:val="%8."/>
      <w:lvlJc w:val="left"/>
      <w:pPr>
        <w:ind w:left="5760" w:hanging="360"/>
      </w:pPr>
    </w:lvl>
    <w:lvl w:ilvl="8" w:tplc="1F6606D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23E71"/>
    <w:multiLevelType w:val="hybridMultilevel"/>
    <w:tmpl w:val="7B60A8F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7B5F11"/>
    <w:multiLevelType w:val="hybridMultilevel"/>
    <w:tmpl w:val="B4D00B7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811724"/>
    <w:multiLevelType w:val="hybridMultilevel"/>
    <w:tmpl w:val="C686756C"/>
    <w:lvl w:ilvl="0" w:tplc="446C3B86">
      <w:start w:val="1"/>
      <w:numFmt w:val="decimal"/>
      <w:lvlText w:val="%1."/>
      <w:lvlJc w:val="left"/>
      <w:pPr>
        <w:ind w:left="720" w:hanging="360"/>
      </w:pPr>
    </w:lvl>
    <w:lvl w:ilvl="1" w:tplc="014AF0D8">
      <w:start w:val="1"/>
      <w:numFmt w:val="lowerLetter"/>
      <w:lvlText w:val="%2."/>
      <w:lvlJc w:val="left"/>
      <w:pPr>
        <w:ind w:left="1440" w:hanging="360"/>
      </w:pPr>
    </w:lvl>
    <w:lvl w:ilvl="2" w:tplc="10087386">
      <w:start w:val="1"/>
      <w:numFmt w:val="lowerRoman"/>
      <w:lvlText w:val="%3."/>
      <w:lvlJc w:val="right"/>
      <w:pPr>
        <w:ind w:left="2160" w:hanging="180"/>
      </w:pPr>
    </w:lvl>
    <w:lvl w:ilvl="3" w:tplc="47B8C938">
      <w:start w:val="1"/>
      <w:numFmt w:val="decimal"/>
      <w:lvlText w:val="%4."/>
      <w:lvlJc w:val="left"/>
      <w:pPr>
        <w:ind w:left="2880" w:hanging="360"/>
      </w:pPr>
    </w:lvl>
    <w:lvl w:ilvl="4" w:tplc="270EB3BC">
      <w:start w:val="1"/>
      <w:numFmt w:val="lowerLetter"/>
      <w:lvlText w:val="%5."/>
      <w:lvlJc w:val="left"/>
      <w:pPr>
        <w:ind w:left="3600" w:hanging="360"/>
      </w:pPr>
    </w:lvl>
    <w:lvl w:ilvl="5" w:tplc="ABE02E46">
      <w:start w:val="1"/>
      <w:numFmt w:val="lowerRoman"/>
      <w:lvlText w:val="%6."/>
      <w:lvlJc w:val="right"/>
      <w:pPr>
        <w:ind w:left="4320" w:hanging="180"/>
      </w:pPr>
    </w:lvl>
    <w:lvl w:ilvl="6" w:tplc="99C0D472">
      <w:start w:val="1"/>
      <w:numFmt w:val="decimal"/>
      <w:lvlText w:val="%7."/>
      <w:lvlJc w:val="left"/>
      <w:pPr>
        <w:ind w:left="5040" w:hanging="360"/>
      </w:pPr>
    </w:lvl>
    <w:lvl w:ilvl="7" w:tplc="A5C0554C">
      <w:start w:val="1"/>
      <w:numFmt w:val="lowerLetter"/>
      <w:lvlText w:val="%8."/>
      <w:lvlJc w:val="left"/>
      <w:pPr>
        <w:ind w:left="5760" w:hanging="360"/>
      </w:pPr>
    </w:lvl>
    <w:lvl w:ilvl="8" w:tplc="95B6E41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D69CD"/>
    <w:multiLevelType w:val="hybridMultilevel"/>
    <w:tmpl w:val="6284E5A8"/>
    <w:lvl w:ilvl="0" w:tplc="24D43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D22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968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028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A4FF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A2A8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4AF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0B4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DC7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A2CD0"/>
    <w:multiLevelType w:val="hybridMultilevel"/>
    <w:tmpl w:val="B08A3A0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8785A03"/>
    <w:multiLevelType w:val="hybridMultilevel"/>
    <w:tmpl w:val="DFA8E9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E351F0"/>
    <w:rsid w:val="0024069F"/>
    <w:rsid w:val="003321B8"/>
    <w:rsid w:val="003730FD"/>
    <w:rsid w:val="004442EB"/>
    <w:rsid w:val="00B03981"/>
    <w:rsid w:val="00E20B5D"/>
    <w:rsid w:val="1FE3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351F0"/>
  <w15:chartTrackingRefBased/>
  <w15:docId w15:val="{EB7F68E0-34B8-43C6-944D-E0B6012B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4">
    <w:name w:val="heading 4"/>
    <w:basedOn w:val="Standaard"/>
    <w:next w:val="Standaard"/>
    <w:link w:val="Kop4Char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rmacotherapeutischkompas.nl/bladeren/preparaatteksten/b/budesonide__bij_astma_" TargetMode="External"/><Relationship Id="rId13" Type="http://schemas.openxmlformats.org/officeDocument/2006/relationships/hyperlink" Target="https://www.farmacotherapeutischkompas.nl/bladeren/preparaatteksten/f/formoterol_beclometas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rmacotherapeutischkompas.nl/bladeren/preparaatteksten/b/beclometason__bij_astma_" TargetMode="External"/><Relationship Id="rId12" Type="http://schemas.openxmlformats.org/officeDocument/2006/relationships/hyperlink" Target="https://www.farmacotherapeutischkompas.nl/bladeren/preparaatteksten/s/salmetero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farmacotherapeutischkompas.nl/bladeren/preparaatteksten/t/terbutaline" TargetMode="External"/><Relationship Id="rId11" Type="http://schemas.openxmlformats.org/officeDocument/2006/relationships/hyperlink" Target="https://www.farmacotherapeutischkompas.nl/bladeren/preparaatteksten/f/formoterol" TargetMode="External"/><Relationship Id="rId5" Type="http://schemas.openxmlformats.org/officeDocument/2006/relationships/hyperlink" Target="https://www.farmacotherapeutischkompas.nl/bladeren/preparaatteksten/s/salbutamol__inhalatie_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farmacotherapeutischkompas.nl/bladeren/preparaatteksten/f/fluticason__bij_astma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rmacotherapeutischkompas.nl/bladeren/preparaatteksten/c/ciclesonide" TargetMode="External"/><Relationship Id="rId14" Type="http://schemas.openxmlformats.org/officeDocument/2006/relationships/hyperlink" Target="https://www.farmacotherapeutischkompas.nl/bladeren/preparaatteksten/f/formoterol_budesoni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 - Doedens</dc:creator>
  <cp:keywords/>
  <dc:description/>
  <cp:lastModifiedBy>Janneke Lich - Doedens</cp:lastModifiedBy>
  <cp:revision>5</cp:revision>
  <dcterms:created xsi:type="dcterms:W3CDTF">2018-06-13T14:19:00Z</dcterms:created>
  <dcterms:modified xsi:type="dcterms:W3CDTF">2018-06-13T14:30:00Z</dcterms:modified>
</cp:coreProperties>
</file>