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8F3FD" w14:textId="77FB19CD" w:rsidR="002571EB" w:rsidRPr="002571EB" w:rsidRDefault="002571EB" w:rsidP="6C5ADA75">
      <w:pPr>
        <w:pStyle w:val="Kop4"/>
        <w:rPr>
          <w:b/>
          <w:i w:val="0"/>
          <w:sz w:val="36"/>
          <w:szCs w:val="36"/>
        </w:rPr>
      </w:pPr>
      <w:r>
        <w:rPr>
          <w:b/>
          <w:i w:val="0"/>
          <w:sz w:val="36"/>
          <w:szCs w:val="36"/>
        </w:rPr>
        <w:t>Behandel stappen</w:t>
      </w:r>
      <w:bookmarkStart w:id="0" w:name="_GoBack"/>
      <w:bookmarkEnd w:id="0"/>
      <w:r w:rsidRPr="002571EB">
        <w:rPr>
          <w:b/>
          <w:i w:val="0"/>
          <w:sz w:val="36"/>
          <w:szCs w:val="36"/>
        </w:rPr>
        <w:t>plan COPD</w:t>
      </w:r>
    </w:p>
    <w:p w14:paraId="128B8975" w14:textId="2DBFCA99" w:rsidR="6C5ADA75" w:rsidRDefault="6C5ADA75" w:rsidP="002571EB">
      <w:pPr>
        <w:pStyle w:val="Kop4"/>
        <w:numPr>
          <w:ilvl w:val="0"/>
          <w:numId w:val="2"/>
        </w:numPr>
      </w:pPr>
      <w:r>
        <w:t>Start kortwerkende luchtwegverwijder</w:t>
      </w:r>
    </w:p>
    <w:p w14:paraId="2CD29EFA" w14:textId="08211D45" w:rsidR="6C5ADA75" w:rsidRPr="002571EB" w:rsidRDefault="6C5ADA75" w:rsidP="002571EB">
      <w:pPr>
        <w:ind w:firstLine="360"/>
        <w:rPr>
          <w:rFonts w:eastAsiaTheme="minorEastAsia"/>
        </w:rPr>
      </w:pPr>
      <w:r w:rsidRPr="002571EB">
        <w:rPr>
          <w:rFonts w:ascii="Calibri" w:eastAsia="Calibri" w:hAnsi="Calibri" w:cs="Calibri"/>
        </w:rPr>
        <w:t>Kies één van de volgende middelen:</w:t>
      </w:r>
    </w:p>
    <w:p w14:paraId="630A2774" w14:textId="201A7BCE" w:rsidR="6C5ADA75" w:rsidRDefault="002571EB" w:rsidP="002571EB">
      <w:pPr>
        <w:pStyle w:val="Lijstalinea"/>
        <w:numPr>
          <w:ilvl w:val="0"/>
          <w:numId w:val="4"/>
        </w:numPr>
        <w:rPr>
          <w:rFonts w:eastAsiaTheme="minorEastAsia"/>
        </w:rPr>
      </w:pPr>
      <w:hyperlink r:id="rId5">
        <w:proofErr w:type="spellStart"/>
        <w:r w:rsidR="6C5ADA75" w:rsidRPr="6C5ADA75">
          <w:rPr>
            <w:rStyle w:val="Hyperlink"/>
            <w:rFonts w:ascii="Calibri" w:eastAsia="Calibri" w:hAnsi="Calibri" w:cs="Calibri"/>
          </w:rPr>
          <w:t>ipratropium</w:t>
        </w:r>
        <w:proofErr w:type="spellEnd"/>
      </w:hyperlink>
      <w:r w:rsidR="6C5ADA75" w:rsidRPr="6C5ADA75">
        <w:rPr>
          <w:rFonts w:ascii="Calibri" w:eastAsia="Calibri" w:hAnsi="Calibri" w:cs="Calibri"/>
        </w:rPr>
        <w:t xml:space="preserve"> (</w:t>
      </w:r>
      <w:proofErr w:type="spellStart"/>
      <w:r w:rsidR="6C5ADA75" w:rsidRPr="6C5ADA75">
        <w:rPr>
          <w:rFonts w:ascii="Calibri" w:eastAsia="Calibri" w:hAnsi="Calibri" w:cs="Calibri"/>
        </w:rPr>
        <w:t>parasympathicolyticum</w:t>
      </w:r>
      <w:proofErr w:type="spellEnd"/>
      <w:r w:rsidR="6C5ADA75" w:rsidRPr="6C5ADA75">
        <w:rPr>
          <w:rFonts w:ascii="Calibri" w:eastAsia="Calibri" w:hAnsi="Calibri" w:cs="Calibri"/>
        </w:rPr>
        <w:t>)</w:t>
      </w:r>
    </w:p>
    <w:p w14:paraId="71739997" w14:textId="6BFF4B02" w:rsidR="6C5ADA75" w:rsidRDefault="002571EB" w:rsidP="002571EB">
      <w:pPr>
        <w:pStyle w:val="Lijstalinea"/>
        <w:numPr>
          <w:ilvl w:val="0"/>
          <w:numId w:val="4"/>
        </w:numPr>
        <w:rPr>
          <w:rFonts w:eastAsiaTheme="minorEastAsia"/>
        </w:rPr>
      </w:pPr>
      <w:hyperlink r:id="rId6">
        <w:r w:rsidR="6C5ADA75" w:rsidRPr="6C5ADA75">
          <w:rPr>
            <w:rStyle w:val="Hyperlink"/>
            <w:rFonts w:ascii="Calibri" w:eastAsia="Calibri" w:hAnsi="Calibri" w:cs="Calibri"/>
          </w:rPr>
          <w:t>salbutamol</w:t>
        </w:r>
      </w:hyperlink>
      <w:r w:rsidR="6C5ADA75" w:rsidRPr="6C5ADA75">
        <w:rPr>
          <w:rFonts w:ascii="Calibri" w:eastAsia="Calibri" w:hAnsi="Calibri" w:cs="Calibri"/>
        </w:rPr>
        <w:t xml:space="preserve"> (bèta2-sympaticomimeticum)</w:t>
      </w:r>
    </w:p>
    <w:p w14:paraId="0474B399" w14:textId="086DE61B" w:rsidR="6C5ADA75" w:rsidRDefault="002571EB" w:rsidP="002571EB">
      <w:pPr>
        <w:pStyle w:val="Lijstalinea"/>
        <w:numPr>
          <w:ilvl w:val="0"/>
          <w:numId w:val="4"/>
        </w:numPr>
        <w:rPr>
          <w:rFonts w:eastAsiaTheme="minorEastAsia"/>
        </w:rPr>
      </w:pPr>
      <w:hyperlink r:id="rId7">
        <w:r w:rsidR="6C5ADA75" w:rsidRPr="6C5ADA75">
          <w:rPr>
            <w:rStyle w:val="Hyperlink"/>
            <w:rFonts w:ascii="Calibri" w:eastAsia="Calibri" w:hAnsi="Calibri" w:cs="Calibri"/>
          </w:rPr>
          <w:t>terbutaline</w:t>
        </w:r>
      </w:hyperlink>
      <w:r w:rsidR="6C5ADA75" w:rsidRPr="6C5ADA75">
        <w:rPr>
          <w:rFonts w:ascii="Calibri" w:eastAsia="Calibri" w:hAnsi="Calibri" w:cs="Calibri"/>
        </w:rPr>
        <w:t xml:space="preserve"> (bèta2-sympathicomimeticum)</w:t>
      </w:r>
    </w:p>
    <w:p w14:paraId="0C3E5AE0" w14:textId="1BA808EA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Adviseer bij lichte ziektelast eventueel ‘zo nodig’-gebruik bij verergering van de klachten.</w:t>
      </w:r>
    </w:p>
    <w:p w14:paraId="26F8B5A1" w14:textId="642DBD8F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Ga naar de volgende stap bij onvoldoende klinische verbetering na 2 weken.</w:t>
      </w:r>
    </w:p>
    <w:p w14:paraId="4DECA563" w14:textId="0E8C3BA7" w:rsidR="6C5ADA75" w:rsidRDefault="6C5ADA75" w:rsidP="002571EB">
      <w:pPr>
        <w:pStyle w:val="Kop4"/>
        <w:numPr>
          <w:ilvl w:val="0"/>
          <w:numId w:val="2"/>
        </w:numPr>
      </w:pPr>
      <w:r>
        <w:t>Schakel over op een andere kortwerkende luchtwegverwijder</w:t>
      </w:r>
    </w:p>
    <w:p w14:paraId="0E8AEAE8" w14:textId="7CDBDA2B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Kies één van de andere middelen:</w:t>
      </w:r>
    </w:p>
    <w:p w14:paraId="49422506" w14:textId="56940CCB" w:rsidR="6C5ADA75" w:rsidRDefault="002571EB" w:rsidP="002571EB">
      <w:pPr>
        <w:pStyle w:val="Lijstalinea"/>
        <w:numPr>
          <w:ilvl w:val="0"/>
          <w:numId w:val="5"/>
        </w:numPr>
        <w:rPr>
          <w:rFonts w:eastAsiaTheme="minorEastAsia"/>
        </w:rPr>
      </w:pPr>
      <w:hyperlink r:id="rId8">
        <w:r w:rsidR="6C5ADA75" w:rsidRPr="6C5ADA75">
          <w:rPr>
            <w:rStyle w:val="Hyperlink"/>
            <w:rFonts w:ascii="Calibri" w:eastAsia="Calibri" w:hAnsi="Calibri" w:cs="Calibri"/>
          </w:rPr>
          <w:t>ipratropium</w:t>
        </w:r>
      </w:hyperlink>
      <w:r w:rsidR="6C5ADA75" w:rsidRPr="6C5ADA75">
        <w:rPr>
          <w:rFonts w:ascii="Calibri" w:eastAsia="Calibri" w:hAnsi="Calibri" w:cs="Calibri"/>
        </w:rPr>
        <w:t xml:space="preserve"> (parasympathicolyticum)</w:t>
      </w:r>
    </w:p>
    <w:p w14:paraId="00B29C08" w14:textId="5E6C6B5C" w:rsidR="6C5ADA75" w:rsidRDefault="002571EB" w:rsidP="002571EB">
      <w:pPr>
        <w:pStyle w:val="Lijstalinea"/>
        <w:numPr>
          <w:ilvl w:val="0"/>
          <w:numId w:val="5"/>
        </w:numPr>
        <w:rPr>
          <w:rFonts w:eastAsiaTheme="minorEastAsia"/>
        </w:rPr>
      </w:pPr>
      <w:hyperlink r:id="rId9">
        <w:r w:rsidR="6C5ADA75" w:rsidRPr="6C5ADA75">
          <w:rPr>
            <w:rStyle w:val="Hyperlink"/>
            <w:rFonts w:ascii="Calibri" w:eastAsia="Calibri" w:hAnsi="Calibri" w:cs="Calibri"/>
          </w:rPr>
          <w:t>salbutamol (inhalatie)</w:t>
        </w:r>
      </w:hyperlink>
      <w:r w:rsidR="6C5ADA75" w:rsidRPr="6C5ADA75">
        <w:rPr>
          <w:rFonts w:ascii="Calibri" w:eastAsia="Calibri" w:hAnsi="Calibri" w:cs="Calibri"/>
        </w:rPr>
        <w:t xml:space="preserve"> (bèta2-sympaticomimeticum)</w:t>
      </w:r>
    </w:p>
    <w:p w14:paraId="41A702D8" w14:textId="1D6FA80C" w:rsidR="6C5ADA75" w:rsidRDefault="002571EB" w:rsidP="002571EB">
      <w:pPr>
        <w:pStyle w:val="Lijstalinea"/>
        <w:numPr>
          <w:ilvl w:val="0"/>
          <w:numId w:val="5"/>
        </w:numPr>
        <w:rPr>
          <w:rFonts w:eastAsiaTheme="minorEastAsia"/>
        </w:rPr>
      </w:pPr>
      <w:hyperlink r:id="rId10">
        <w:r w:rsidR="6C5ADA75" w:rsidRPr="6C5ADA75">
          <w:rPr>
            <w:rStyle w:val="Hyperlink"/>
            <w:rFonts w:ascii="Calibri" w:eastAsia="Calibri" w:hAnsi="Calibri" w:cs="Calibri"/>
          </w:rPr>
          <w:t>terbutaline</w:t>
        </w:r>
      </w:hyperlink>
      <w:r w:rsidR="6C5ADA75" w:rsidRPr="6C5ADA75">
        <w:rPr>
          <w:rFonts w:ascii="Calibri" w:eastAsia="Calibri" w:hAnsi="Calibri" w:cs="Calibri"/>
        </w:rPr>
        <w:t xml:space="preserve"> (bèta2-sympathicomimeticum)</w:t>
      </w:r>
    </w:p>
    <w:p w14:paraId="5AF35FBD" w14:textId="33C6379C" w:rsidR="6C5ADA75" w:rsidRDefault="6C5ADA75" w:rsidP="002571EB">
      <w:pPr>
        <w:pStyle w:val="Lijstalinea"/>
        <w:rPr>
          <w:rFonts w:eastAsiaTheme="minorEastAsia"/>
        </w:rPr>
      </w:pPr>
    </w:p>
    <w:p w14:paraId="49E9A892" w14:textId="6BAFAAE9" w:rsidR="6C5ADA75" w:rsidRDefault="6C5ADA75" w:rsidP="002571EB">
      <w:pPr>
        <w:pStyle w:val="Kop4"/>
        <w:numPr>
          <w:ilvl w:val="0"/>
          <w:numId w:val="2"/>
        </w:numPr>
      </w:pPr>
      <w:r>
        <w:t>Voeg een andere kortwerkende luchtwegverwijder toe</w:t>
      </w:r>
    </w:p>
    <w:p w14:paraId="79660260" w14:textId="7B579FAC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Voeg één van de andere middelen toe:</w:t>
      </w:r>
    </w:p>
    <w:p w14:paraId="0FA127A9" w14:textId="659692B8" w:rsidR="6C5ADA75" w:rsidRDefault="002571EB" w:rsidP="002571EB">
      <w:pPr>
        <w:pStyle w:val="Lijstalinea"/>
        <w:numPr>
          <w:ilvl w:val="0"/>
          <w:numId w:val="6"/>
        </w:numPr>
        <w:rPr>
          <w:rFonts w:eastAsiaTheme="minorEastAsia"/>
        </w:rPr>
      </w:pPr>
      <w:hyperlink r:id="rId11">
        <w:r w:rsidR="6C5ADA75" w:rsidRPr="6C5ADA75">
          <w:rPr>
            <w:rStyle w:val="Hyperlink"/>
            <w:rFonts w:ascii="Calibri" w:eastAsia="Calibri" w:hAnsi="Calibri" w:cs="Calibri"/>
          </w:rPr>
          <w:t>ipratropium</w:t>
        </w:r>
      </w:hyperlink>
      <w:r w:rsidR="6C5ADA75" w:rsidRPr="6C5ADA75">
        <w:rPr>
          <w:rFonts w:ascii="Calibri" w:eastAsia="Calibri" w:hAnsi="Calibri" w:cs="Calibri"/>
        </w:rPr>
        <w:t xml:space="preserve"> (parasympathicolyticum)</w:t>
      </w:r>
    </w:p>
    <w:p w14:paraId="6E7A91EF" w14:textId="2337D69F" w:rsidR="6C5ADA75" w:rsidRDefault="002571EB" w:rsidP="002571EB">
      <w:pPr>
        <w:pStyle w:val="Lijstalinea"/>
        <w:numPr>
          <w:ilvl w:val="0"/>
          <w:numId w:val="6"/>
        </w:numPr>
        <w:rPr>
          <w:rFonts w:eastAsiaTheme="minorEastAsia"/>
        </w:rPr>
      </w:pPr>
      <w:hyperlink r:id="rId12">
        <w:r w:rsidR="6C5ADA75" w:rsidRPr="6C5ADA75">
          <w:rPr>
            <w:rStyle w:val="Hyperlink"/>
            <w:rFonts w:ascii="Calibri" w:eastAsia="Calibri" w:hAnsi="Calibri" w:cs="Calibri"/>
          </w:rPr>
          <w:t>salbutamol (inhalatie)</w:t>
        </w:r>
      </w:hyperlink>
      <w:r w:rsidR="6C5ADA75" w:rsidRPr="6C5ADA75">
        <w:rPr>
          <w:rFonts w:ascii="Calibri" w:eastAsia="Calibri" w:hAnsi="Calibri" w:cs="Calibri"/>
        </w:rPr>
        <w:t xml:space="preserve"> (bèta2-sympaticomimeticum)</w:t>
      </w:r>
    </w:p>
    <w:p w14:paraId="4C4EBD84" w14:textId="79AC0BE6" w:rsidR="6C5ADA75" w:rsidRDefault="002571EB" w:rsidP="002571EB">
      <w:pPr>
        <w:pStyle w:val="Lijstalinea"/>
        <w:numPr>
          <w:ilvl w:val="0"/>
          <w:numId w:val="6"/>
        </w:numPr>
        <w:rPr>
          <w:rFonts w:eastAsiaTheme="minorEastAsia"/>
        </w:rPr>
      </w:pPr>
      <w:hyperlink r:id="rId13">
        <w:r w:rsidR="6C5ADA75" w:rsidRPr="6C5ADA75">
          <w:rPr>
            <w:rStyle w:val="Hyperlink"/>
            <w:rFonts w:ascii="Calibri" w:eastAsia="Calibri" w:hAnsi="Calibri" w:cs="Calibri"/>
          </w:rPr>
          <w:t>terbutaline</w:t>
        </w:r>
      </w:hyperlink>
      <w:r w:rsidR="6C5ADA75" w:rsidRPr="6C5ADA75">
        <w:rPr>
          <w:rFonts w:ascii="Calibri" w:eastAsia="Calibri" w:hAnsi="Calibri" w:cs="Calibri"/>
        </w:rPr>
        <w:t xml:space="preserve"> (bèta2-sympathicomimeticum)</w:t>
      </w:r>
    </w:p>
    <w:p w14:paraId="08147A37" w14:textId="5240E97E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Ga naar de volgende stap bij onvoldoende controle (aanhoudende dyspneu, nachtelijke klachten, exacerbaties).</w:t>
      </w:r>
    </w:p>
    <w:p w14:paraId="6ED75711" w14:textId="50963B0E" w:rsidR="6C5ADA75" w:rsidRDefault="6C5ADA75" w:rsidP="002571EB">
      <w:pPr>
        <w:pStyle w:val="Kop4"/>
        <w:numPr>
          <w:ilvl w:val="0"/>
          <w:numId w:val="2"/>
        </w:numPr>
      </w:pPr>
      <w:r>
        <w:t>Schakel over op een langwerkende luchtwegverwijder</w:t>
      </w:r>
    </w:p>
    <w:p w14:paraId="3E51D1FC" w14:textId="3256EAA2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Kies bij voorkeur één van de volgende middelen:</w:t>
      </w:r>
    </w:p>
    <w:p w14:paraId="6789AB70" w14:textId="366B6367" w:rsidR="6C5ADA75" w:rsidRDefault="002571EB" w:rsidP="002571EB">
      <w:pPr>
        <w:pStyle w:val="Lijstalinea"/>
        <w:numPr>
          <w:ilvl w:val="0"/>
          <w:numId w:val="7"/>
        </w:numPr>
        <w:rPr>
          <w:rFonts w:eastAsiaTheme="minorEastAsia"/>
        </w:rPr>
      </w:pPr>
      <w:hyperlink r:id="rId14">
        <w:r w:rsidR="6C5ADA75" w:rsidRPr="6C5ADA75">
          <w:rPr>
            <w:rStyle w:val="Hyperlink"/>
            <w:rFonts w:ascii="Calibri" w:eastAsia="Calibri" w:hAnsi="Calibri" w:cs="Calibri"/>
          </w:rPr>
          <w:t>formoterol</w:t>
        </w:r>
      </w:hyperlink>
      <w:r w:rsidR="6C5ADA75" w:rsidRPr="6C5ADA75">
        <w:rPr>
          <w:rFonts w:ascii="Calibri" w:eastAsia="Calibri" w:hAnsi="Calibri" w:cs="Calibri"/>
        </w:rPr>
        <w:t xml:space="preserve"> (β2-sympathicomimeticum)</w:t>
      </w:r>
    </w:p>
    <w:p w14:paraId="4492F504" w14:textId="21EBEB82" w:rsidR="6C5ADA75" w:rsidRDefault="002571EB" w:rsidP="002571EB">
      <w:pPr>
        <w:pStyle w:val="Lijstalinea"/>
        <w:numPr>
          <w:ilvl w:val="0"/>
          <w:numId w:val="7"/>
        </w:numPr>
        <w:rPr>
          <w:rFonts w:eastAsiaTheme="minorEastAsia"/>
        </w:rPr>
      </w:pPr>
      <w:hyperlink r:id="rId15">
        <w:r w:rsidR="6C5ADA75" w:rsidRPr="6C5ADA75">
          <w:rPr>
            <w:rStyle w:val="Hyperlink"/>
            <w:rFonts w:ascii="Calibri" w:eastAsia="Calibri" w:hAnsi="Calibri" w:cs="Calibri"/>
          </w:rPr>
          <w:t>salmeterol</w:t>
        </w:r>
      </w:hyperlink>
      <w:r w:rsidR="6C5ADA75" w:rsidRPr="6C5ADA75">
        <w:rPr>
          <w:rFonts w:ascii="Calibri" w:eastAsia="Calibri" w:hAnsi="Calibri" w:cs="Calibri"/>
        </w:rPr>
        <w:t xml:space="preserve"> (β2-sympathicomimeticum)</w:t>
      </w:r>
    </w:p>
    <w:p w14:paraId="2D08D856" w14:textId="6C6E4939" w:rsidR="6C5ADA75" w:rsidRDefault="002571EB" w:rsidP="002571EB">
      <w:pPr>
        <w:pStyle w:val="Lijstalinea"/>
        <w:numPr>
          <w:ilvl w:val="0"/>
          <w:numId w:val="7"/>
        </w:numPr>
        <w:rPr>
          <w:rFonts w:eastAsiaTheme="minorEastAsia"/>
        </w:rPr>
      </w:pPr>
      <w:hyperlink r:id="rId16">
        <w:r w:rsidR="6C5ADA75" w:rsidRPr="6C5ADA75">
          <w:rPr>
            <w:rStyle w:val="Hyperlink"/>
            <w:rFonts w:ascii="Calibri" w:eastAsia="Calibri" w:hAnsi="Calibri" w:cs="Calibri"/>
          </w:rPr>
          <w:t>tiotropium</w:t>
        </w:r>
      </w:hyperlink>
      <w:r w:rsidR="6C5ADA75" w:rsidRPr="6C5ADA75">
        <w:rPr>
          <w:rFonts w:ascii="Calibri" w:eastAsia="Calibri" w:hAnsi="Calibri" w:cs="Calibri"/>
        </w:rPr>
        <w:t xml:space="preserve"> (parasympathicolyticum)</w:t>
      </w:r>
    </w:p>
    <w:p w14:paraId="33EF60B2" w14:textId="61D15C0A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Ga naar de volgende stap bij onvoldoende effect van één langwerkende luchtwegverwijder.</w:t>
      </w:r>
    </w:p>
    <w:p w14:paraId="3D346859" w14:textId="6F27F212" w:rsidR="6C5ADA75" w:rsidRDefault="6C5ADA75" w:rsidP="002571EB">
      <w:pPr>
        <w:pStyle w:val="Kop4"/>
        <w:numPr>
          <w:ilvl w:val="0"/>
          <w:numId w:val="2"/>
        </w:numPr>
      </w:pPr>
      <w:r>
        <w:t>Combineer beide groepen langwerkende luchtwegverwijders</w:t>
      </w:r>
    </w:p>
    <w:p w14:paraId="5F1FED71" w14:textId="71DA5C88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Voeg één van de andere middelen toe:</w:t>
      </w:r>
    </w:p>
    <w:p w14:paraId="6CE261B5" w14:textId="50CF54FF" w:rsidR="6C5ADA75" w:rsidRDefault="002571EB" w:rsidP="002571EB">
      <w:pPr>
        <w:pStyle w:val="Lijstalinea"/>
        <w:numPr>
          <w:ilvl w:val="0"/>
          <w:numId w:val="8"/>
        </w:numPr>
        <w:rPr>
          <w:rFonts w:eastAsiaTheme="minorEastAsia"/>
        </w:rPr>
      </w:pPr>
      <w:hyperlink r:id="rId17">
        <w:r w:rsidR="6C5ADA75" w:rsidRPr="6C5ADA75">
          <w:rPr>
            <w:rStyle w:val="Hyperlink"/>
            <w:rFonts w:ascii="Calibri" w:eastAsia="Calibri" w:hAnsi="Calibri" w:cs="Calibri"/>
          </w:rPr>
          <w:t>formoterol</w:t>
        </w:r>
      </w:hyperlink>
      <w:r w:rsidR="6C5ADA75" w:rsidRPr="6C5ADA75">
        <w:rPr>
          <w:rFonts w:ascii="Calibri" w:eastAsia="Calibri" w:hAnsi="Calibri" w:cs="Calibri"/>
        </w:rPr>
        <w:t xml:space="preserve"> (β2-sympathicomimeticum)</w:t>
      </w:r>
    </w:p>
    <w:p w14:paraId="1A24AB09" w14:textId="5808B4B8" w:rsidR="6C5ADA75" w:rsidRDefault="002571EB" w:rsidP="002571EB">
      <w:pPr>
        <w:pStyle w:val="Lijstalinea"/>
        <w:numPr>
          <w:ilvl w:val="0"/>
          <w:numId w:val="8"/>
        </w:numPr>
        <w:rPr>
          <w:rFonts w:eastAsiaTheme="minorEastAsia"/>
        </w:rPr>
      </w:pPr>
      <w:hyperlink r:id="rId18">
        <w:r w:rsidR="6C5ADA75" w:rsidRPr="6C5ADA75">
          <w:rPr>
            <w:rStyle w:val="Hyperlink"/>
            <w:rFonts w:ascii="Calibri" w:eastAsia="Calibri" w:hAnsi="Calibri" w:cs="Calibri"/>
          </w:rPr>
          <w:t>salmeterol</w:t>
        </w:r>
      </w:hyperlink>
      <w:r w:rsidR="6C5ADA75" w:rsidRPr="6C5ADA75">
        <w:rPr>
          <w:rFonts w:ascii="Calibri" w:eastAsia="Calibri" w:hAnsi="Calibri" w:cs="Calibri"/>
        </w:rPr>
        <w:t xml:space="preserve"> (β2-sympathicomimeticum)</w:t>
      </w:r>
    </w:p>
    <w:p w14:paraId="14AD90C4" w14:textId="68B53340" w:rsidR="6C5ADA75" w:rsidRDefault="002571EB" w:rsidP="002571EB">
      <w:pPr>
        <w:pStyle w:val="Lijstalinea"/>
        <w:numPr>
          <w:ilvl w:val="0"/>
          <w:numId w:val="8"/>
        </w:numPr>
        <w:rPr>
          <w:rFonts w:eastAsiaTheme="minorEastAsia"/>
        </w:rPr>
      </w:pPr>
      <w:hyperlink r:id="rId19">
        <w:r w:rsidR="6C5ADA75" w:rsidRPr="6C5ADA75">
          <w:rPr>
            <w:rStyle w:val="Hyperlink"/>
            <w:rFonts w:ascii="Calibri" w:eastAsia="Calibri" w:hAnsi="Calibri" w:cs="Calibri"/>
          </w:rPr>
          <w:t>tiotropium</w:t>
        </w:r>
      </w:hyperlink>
      <w:r w:rsidR="6C5ADA75" w:rsidRPr="6C5ADA75">
        <w:rPr>
          <w:rFonts w:ascii="Calibri" w:eastAsia="Calibri" w:hAnsi="Calibri" w:cs="Calibri"/>
        </w:rPr>
        <w:t xml:space="preserve"> (parasympathicolyticum)</w:t>
      </w:r>
    </w:p>
    <w:p w14:paraId="1317460D" w14:textId="0CB9319D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Ga naar de volgende stap bij frequente ernstige exacerbaties (≥ 2×/jaar met een kuur orale corticosteroïden en/of antibiotica, of 1×/jaar ziekenhuisopname)</w:t>
      </w:r>
    </w:p>
    <w:p w14:paraId="0C021F70" w14:textId="55538438" w:rsidR="6C5ADA75" w:rsidRDefault="6C5ADA75" w:rsidP="002571EB">
      <w:pPr>
        <w:pStyle w:val="Kop4"/>
        <w:numPr>
          <w:ilvl w:val="0"/>
          <w:numId w:val="2"/>
        </w:numPr>
      </w:pPr>
      <w:r>
        <w:t>Overweeg toevoegen van inhalatiecorticosteroïd</w:t>
      </w:r>
    </w:p>
    <w:p w14:paraId="75B68C4D" w14:textId="1E420E98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>Voeg gedurende een jaar één van de volgende middelen toe:</w:t>
      </w:r>
    </w:p>
    <w:p w14:paraId="4C0D92E8" w14:textId="5E263E89" w:rsidR="6C5ADA75" w:rsidRDefault="002571EB" w:rsidP="002571EB">
      <w:pPr>
        <w:pStyle w:val="Lijstalinea"/>
        <w:numPr>
          <w:ilvl w:val="0"/>
          <w:numId w:val="9"/>
        </w:numPr>
        <w:rPr>
          <w:rFonts w:eastAsiaTheme="minorEastAsia"/>
        </w:rPr>
      </w:pPr>
      <w:hyperlink r:id="rId20">
        <w:r w:rsidR="6C5ADA75" w:rsidRPr="6C5ADA75">
          <w:rPr>
            <w:rStyle w:val="Hyperlink"/>
            <w:rFonts w:ascii="Calibri" w:eastAsia="Calibri" w:hAnsi="Calibri" w:cs="Calibri"/>
          </w:rPr>
          <w:t>fluticason</w:t>
        </w:r>
      </w:hyperlink>
    </w:p>
    <w:p w14:paraId="18A96CC6" w14:textId="3B6F645F" w:rsidR="6C5ADA75" w:rsidRDefault="002571EB" w:rsidP="002571EB">
      <w:pPr>
        <w:pStyle w:val="Lijstalinea"/>
        <w:numPr>
          <w:ilvl w:val="0"/>
          <w:numId w:val="9"/>
        </w:numPr>
        <w:rPr>
          <w:rFonts w:eastAsiaTheme="minorEastAsia"/>
        </w:rPr>
      </w:pPr>
      <w:hyperlink r:id="rId21">
        <w:r w:rsidR="6C5ADA75" w:rsidRPr="6C5ADA75">
          <w:rPr>
            <w:rStyle w:val="Hyperlink"/>
            <w:rFonts w:ascii="Calibri" w:eastAsia="Calibri" w:hAnsi="Calibri" w:cs="Calibri"/>
          </w:rPr>
          <w:t>beclometason</w:t>
        </w:r>
      </w:hyperlink>
      <w:r w:rsidR="6C5ADA75" w:rsidRPr="6C5ADA75">
        <w:rPr>
          <w:rFonts w:ascii="Calibri" w:eastAsia="Calibri" w:hAnsi="Calibri" w:cs="Calibri"/>
        </w:rPr>
        <w:t xml:space="preserve"> (offlabel)</w:t>
      </w:r>
    </w:p>
    <w:p w14:paraId="703BB857" w14:textId="28C43E44" w:rsidR="6C5ADA75" w:rsidRDefault="002571EB" w:rsidP="002571EB">
      <w:pPr>
        <w:pStyle w:val="Lijstalinea"/>
        <w:numPr>
          <w:ilvl w:val="0"/>
          <w:numId w:val="9"/>
        </w:numPr>
        <w:rPr>
          <w:rFonts w:eastAsiaTheme="minorEastAsia"/>
        </w:rPr>
      </w:pPr>
      <w:hyperlink r:id="rId22">
        <w:r w:rsidR="6C5ADA75" w:rsidRPr="6C5ADA75">
          <w:rPr>
            <w:rStyle w:val="Hyperlink"/>
            <w:rFonts w:ascii="Calibri" w:eastAsia="Calibri" w:hAnsi="Calibri" w:cs="Calibri"/>
          </w:rPr>
          <w:t>budesonide</w:t>
        </w:r>
      </w:hyperlink>
      <w:r w:rsidR="6C5ADA75" w:rsidRPr="6C5ADA75">
        <w:rPr>
          <w:rFonts w:ascii="Calibri" w:eastAsia="Calibri" w:hAnsi="Calibri" w:cs="Calibri"/>
        </w:rPr>
        <w:t xml:space="preserve"> (offlabel)</w:t>
      </w:r>
    </w:p>
    <w:p w14:paraId="56922352" w14:textId="506C6009" w:rsidR="6C5ADA75" w:rsidRDefault="6C5ADA75" w:rsidP="002571EB">
      <w:pPr>
        <w:pStyle w:val="Lijstalinea"/>
        <w:rPr>
          <w:rFonts w:eastAsiaTheme="minorEastAsia"/>
        </w:rPr>
      </w:pPr>
      <w:r w:rsidRPr="6C5ADA75">
        <w:rPr>
          <w:rFonts w:ascii="Calibri" w:eastAsia="Calibri" w:hAnsi="Calibri" w:cs="Calibri"/>
        </w:rPr>
        <w:t xml:space="preserve"> </w:t>
      </w:r>
    </w:p>
    <w:p w14:paraId="2F5EC1EB" w14:textId="33B1D7CE" w:rsidR="6C5ADA75" w:rsidRDefault="6C5ADA75" w:rsidP="6C5ADA75"/>
    <w:sectPr w:rsidR="6C5ADA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F72"/>
    <w:multiLevelType w:val="hybridMultilevel"/>
    <w:tmpl w:val="6042383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73878"/>
    <w:multiLevelType w:val="hybridMultilevel"/>
    <w:tmpl w:val="155CD100"/>
    <w:lvl w:ilvl="0" w:tplc="6A5CDE42">
      <w:start w:val="1"/>
      <w:numFmt w:val="decimal"/>
      <w:lvlText w:val="%1."/>
      <w:lvlJc w:val="left"/>
      <w:pPr>
        <w:ind w:left="720" w:hanging="360"/>
      </w:pPr>
    </w:lvl>
    <w:lvl w:ilvl="1" w:tplc="278699F0">
      <w:start w:val="1"/>
      <w:numFmt w:val="lowerLetter"/>
      <w:lvlText w:val="%2."/>
      <w:lvlJc w:val="left"/>
      <w:pPr>
        <w:ind w:left="1440" w:hanging="360"/>
      </w:pPr>
    </w:lvl>
    <w:lvl w:ilvl="2" w:tplc="23C000A6">
      <w:start w:val="1"/>
      <w:numFmt w:val="lowerRoman"/>
      <w:lvlText w:val="%3."/>
      <w:lvlJc w:val="right"/>
      <w:pPr>
        <w:ind w:left="2160" w:hanging="180"/>
      </w:pPr>
    </w:lvl>
    <w:lvl w:ilvl="3" w:tplc="25745ACA">
      <w:start w:val="1"/>
      <w:numFmt w:val="decimal"/>
      <w:lvlText w:val="%4."/>
      <w:lvlJc w:val="left"/>
      <w:pPr>
        <w:ind w:left="2880" w:hanging="360"/>
      </w:pPr>
    </w:lvl>
    <w:lvl w:ilvl="4" w:tplc="4B209246">
      <w:start w:val="1"/>
      <w:numFmt w:val="lowerLetter"/>
      <w:lvlText w:val="%5."/>
      <w:lvlJc w:val="left"/>
      <w:pPr>
        <w:ind w:left="3600" w:hanging="360"/>
      </w:pPr>
    </w:lvl>
    <w:lvl w:ilvl="5" w:tplc="1E14251A">
      <w:start w:val="1"/>
      <w:numFmt w:val="lowerRoman"/>
      <w:lvlText w:val="%6."/>
      <w:lvlJc w:val="right"/>
      <w:pPr>
        <w:ind w:left="4320" w:hanging="180"/>
      </w:pPr>
    </w:lvl>
    <w:lvl w:ilvl="6" w:tplc="A314B0B4">
      <w:start w:val="1"/>
      <w:numFmt w:val="decimal"/>
      <w:lvlText w:val="%7."/>
      <w:lvlJc w:val="left"/>
      <w:pPr>
        <w:ind w:left="5040" w:hanging="360"/>
      </w:pPr>
    </w:lvl>
    <w:lvl w:ilvl="7" w:tplc="5D40E83E">
      <w:start w:val="1"/>
      <w:numFmt w:val="lowerLetter"/>
      <w:lvlText w:val="%8."/>
      <w:lvlJc w:val="left"/>
      <w:pPr>
        <w:ind w:left="5760" w:hanging="360"/>
      </w:pPr>
    </w:lvl>
    <w:lvl w:ilvl="8" w:tplc="17767FC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35A43"/>
    <w:multiLevelType w:val="hybridMultilevel"/>
    <w:tmpl w:val="2410E12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CB7D46"/>
    <w:multiLevelType w:val="hybridMultilevel"/>
    <w:tmpl w:val="6F4AF11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D80D7B"/>
    <w:multiLevelType w:val="hybridMultilevel"/>
    <w:tmpl w:val="C6F43A8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4378A6"/>
    <w:multiLevelType w:val="hybridMultilevel"/>
    <w:tmpl w:val="79005E3C"/>
    <w:lvl w:ilvl="0" w:tplc="9796F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833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68C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8AF3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69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8CFA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0C1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58E5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363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751A0"/>
    <w:multiLevelType w:val="hybridMultilevel"/>
    <w:tmpl w:val="389888FE"/>
    <w:lvl w:ilvl="0" w:tplc="DBFE6392">
      <w:start w:val="1"/>
      <w:numFmt w:val="decimal"/>
      <w:lvlText w:val="%1."/>
      <w:lvlJc w:val="left"/>
      <w:pPr>
        <w:ind w:left="720" w:hanging="360"/>
      </w:pPr>
    </w:lvl>
    <w:lvl w:ilvl="1" w:tplc="5734DF66">
      <w:start w:val="1"/>
      <w:numFmt w:val="lowerLetter"/>
      <w:lvlText w:val="%2."/>
      <w:lvlJc w:val="left"/>
      <w:pPr>
        <w:ind w:left="1440" w:hanging="360"/>
      </w:pPr>
    </w:lvl>
    <w:lvl w:ilvl="2" w:tplc="0F2EAEA2">
      <w:start w:val="1"/>
      <w:numFmt w:val="lowerRoman"/>
      <w:lvlText w:val="%3."/>
      <w:lvlJc w:val="right"/>
      <w:pPr>
        <w:ind w:left="2160" w:hanging="180"/>
      </w:pPr>
    </w:lvl>
    <w:lvl w:ilvl="3" w:tplc="FA8C7D64">
      <w:start w:val="1"/>
      <w:numFmt w:val="decimal"/>
      <w:lvlText w:val="%4."/>
      <w:lvlJc w:val="left"/>
      <w:pPr>
        <w:ind w:left="2880" w:hanging="360"/>
      </w:pPr>
    </w:lvl>
    <w:lvl w:ilvl="4" w:tplc="E5463B2C">
      <w:start w:val="1"/>
      <w:numFmt w:val="lowerLetter"/>
      <w:lvlText w:val="%5."/>
      <w:lvlJc w:val="left"/>
      <w:pPr>
        <w:ind w:left="3600" w:hanging="360"/>
      </w:pPr>
    </w:lvl>
    <w:lvl w:ilvl="5" w:tplc="5490A84A">
      <w:start w:val="1"/>
      <w:numFmt w:val="lowerRoman"/>
      <w:lvlText w:val="%6."/>
      <w:lvlJc w:val="right"/>
      <w:pPr>
        <w:ind w:left="4320" w:hanging="180"/>
      </w:pPr>
    </w:lvl>
    <w:lvl w:ilvl="6" w:tplc="C624F024">
      <w:start w:val="1"/>
      <w:numFmt w:val="decimal"/>
      <w:lvlText w:val="%7."/>
      <w:lvlJc w:val="left"/>
      <w:pPr>
        <w:ind w:left="5040" w:hanging="360"/>
      </w:pPr>
    </w:lvl>
    <w:lvl w:ilvl="7" w:tplc="29946D14">
      <w:start w:val="1"/>
      <w:numFmt w:val="lowerLetter"/>
      <w:lvlText w:val="%8."/>
      <w:lvlJc w:val="left"/>
      <w:pPr>
        <w:ind w:left="5760" w:hanging="360"/>
      </w:pPr>
    </w:lvl>
    <w:lvl w:ilvl="8" w:tplc="FC2CAE0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B26A6"/>
    <w:multiLevelType w:val="hybridMultilevel"/>
    <w:tmpl w:val="D03AEE6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7D15B1"/>
    <w:multiLevelType w:val="hybridMultilevel"/>
    <w:tmpl w:val="C72C709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AF2ABE"/>
    <w:rsid w:val="002571EB"/>
    <w:rsid w:val="4FAF2ABE"/>
    <w:rsid w:val="6C5AD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F2ABE"/>
  <w15:chartTrackingRefBased/>
  <w15:docId w15:val="{9B1AC4FF-4AFA-4B62-A38C-7168440A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4">
    <w:name w:val="heading 4"/>
    <w:basedOn w:val="Standaard"/>
    <w:next w:val="Standaard"/>
    <w:link w:val="Kop4Char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rmacotherapeutischkompas.nl/bladeren/preparaatteksten/i/ipratropium" TargetMode="External"/><Relationship Id="rId13" Type="http://schemas.openxmlformats.org/officeDocument/2006/relationships/hyperlink" Target="https://www.farmacotherapeutischkompas.nl/bladeren/preparaatteksten/t/terbutaline" TargetMode="External"/><Relationship Id="rId18" Type="http://schemas.openxmlformats.org/officeDocument/2006/relationships/hyperlink" Target="https://www.farmacotherapeutischkompas.nl/bladeren/preparaatteksten/s/salmetero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armacotherapeutischkompas.nl/bladeren/preparaatteksten/b/beclometason__bij_astma_" TargetMode="External"/><Relationship Id="rId7" Type="http://schemas.openxmlformats.org/officeDocument/2006/relationships/hyperlink" Target="https://www.farmacotherapeutischkompas.nl/bladeren/preparaatteksten/t/terbutaline" TargetMode="External"/><Relationship Id="rId12" Type="http://schemas.openxmlformats.org/officeDocument/2006/relationships/hyperlink" Target="https://www.farmacotherapeutischkompas.nl/bladeren/preparaatteksten/s/salbutamol__inhalatie_" TargetMode="External"/><Relationship Id="rId17" Type="http://schemas.openxmlformats.org/officeDocument/2006/relationships/hyperlink" Target="https://www.farmacotherapeutischkompas.nl/bladeren/preparaatteksten/f/formotero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rmacotherapeutischkompas.nl/bladeren/preparaatteksten/t/tiotropium" TargetMode="External"/><Relationship Id="rId20" Type="http://schemas.openxmlformats.org/officeDocument/2006/relationships/hyperlink" Target="https://www.farmacotherapeutischkompas.nl/bladeren/preparaatteksten/f/fluticason__bij_astma_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farmacotherapeutischkompas.nl/bladeren/preparaatteksten/s/salbutamol__inhalatie_" TargetMode="External"/><Relationship Id="rId11" Type="http://schemas.openxmlformats.org/officeDocument/2006/relationships/hyperlink" Target="https://www.farmacotherapeutischkompas.nl/bladeren/preparaatteksten/i/ipratropium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farmacotherapeutischkompas.nl/bladeren/preparaatteksten/i/ipratropium" TargetMode="External"/><Relationship Id="rId15" Type="http://schemas.openxmlformats.org/officeDocument/2006/relationships/hyperlink" Target="https://www.farmacotherapeutischkompas.nl/bladeren/preparaatteksten/s/salmetero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farmacotherapeutischkompas.nl/bladeren/preparaatteksten/t/terbutaline" TargetMode="External"/><Relationship Id="rId19" Type="http://schemas.openxmlformats.org/officeDocument/2006/relationships/hyperlink" Target="https://www.farmacotherapeutischkompas.nl/bladeren/preparaatteksten/t/tiotropi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rmacotherapeutischkompas.nl/bladeren/preparaatteksten/s/salbutamol__inhalatie_" TargetMode="External"/><Relationship Id="rId14" Type="http://schemas.openxmlformats.org/officeDocument/2006/relationships/hyperlink" Target="https://www.farmacotherapeutischkompas.nl/bladeren/preparaatteksten/f/formoterol" TargetMode="External"/><Relationship Id="rId22" Type="http://schemas.openxmlformats.org/officeDocument/2006/relationships/hyperlink" Target="https://www.farmacotherapeutischkompas.nl/bladeren/preparaatteksten/b/budesonide__bij_astma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 - Doedens</dc:creator>
  <cp:keywords/>
  <dc:description/>
  <cp:lastModifiedBy>Janneke Lich - Doedens</cp:lastModifiedBy>
  <cp:revision>2</cp:revision>
  <dcterms:created xsi:type="dcterms:W3CDTF">2018-06-13T13:59:00Z</dcterms:created>
  <dcterms:modified xsi:type="dcterms:W3CDTF">2018-06-13T14:27:00Z</dcterms:modified>
</cp:coreProperties>
</file>