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D1" w:rsidRDefault="00D418D1">
      <w:r>
        <w:rPr>
          <w:noProof/>
        </w:rPr>
        <w:pict>
          <v:shapetype id="_x0000_t202" coordsize="21600,21600" o:spt="202" path="m,l,21600r21600,l21600,xe">
            <v:stroke joinstyle="miter"/>
            <v:path gradientshapeok="t" o:connecttype="rect"/>
          </v:shapetype>
          <v:shape id="_x0000_s1028" type="#_x0000_t202" style="position:absolute;margin-left:-1.9pt;margin-top:-2.8pt;width:459.5pt;height:590.65pt;z-index:251662336;mso-width-relative:margin;mso-height-relative:margin">
            <v:textbox style="mso-next-textbox:#_x0000_s1028">
              <w:txbxContent>
                <w:p w:rsidR="00D418D1" w:rsidRPr="00010150" w:rsidRDefault="00D418D1" w:rsidP="00D418D1">
                  <w:pPr>
                    <w:pStyle w:val="Geenafstand"/>
                    <w:rPr>
                      <w:rFonts w:ascii="Times New Roman" w:hAnsi="Times New Roman" w:cs="Times New Roman"/>
                    </w:rPr>
                  </w:pPr>
                  <w:r w:rsidRPr="00EE72C4">
                    <w:rPr>
                      <w:rFonts w:ascii="Times New Roman" w:hAnsi="Times New Roman" w:cs="Times New Roman"/>
                      <w:noProof/>
                      <w:sz w:val="24"/>
                      <w:szCs w:val="24"/>
                    </w:rPr>
                    <w:drawing>
                      <wp:inline distT="0" distB="0" distL="0" distR="0">
                        <wp:extent cx="822960" cy="407035"/>
                        <wp:effectExtent l="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a:srcRect/>
                                <a:stretch>
                                  <a:fillRect/>
                                </a:stretch>
                              </pic:blipFill>
                              <pic:spPr bwMode="auto">
                                <a:xfrm>
                                  <a:off x="0" y="0"/>
                                  <a:ext cx="822960" cy="407035"/>
                                </a:xfrm>
                                <a:prstGeom prst="rect">
                                  <a:avLst/>
                                </a:prstGeom>
                                <a:noFill/>
                                <a:ln w="9525">
                                  <a:noFill/>
                                  <a:miter lim="800000"/>
                                  <a:headEnd/>
                                  <a:tailEnd/>
                                </a:ln>
                              </pic:spPr>
                            </pic:pic>
                          </a:graphicData>
                        </a:graphic>
                      </wp:inline>
                    </w:drawing>
                  </w:r>
                  <w:r>
                    <w:rPr>
                      <w:rFonts w:ascii="Times New Roman" w:hAnsi="Times New Roman" w:cs="Times New Roman"/>
                    </w:rPr>
                    <w:t>Antwoordmodel opdracht 4</w:t>
                  </w:r>
                  <w:r w:rsidRPr="00010150">
                    <w:rPr>
                      <w:rFonts w:ascii="Times New Roman" w:hAnsi="Times New Roman" w:cs="Times New Roman"/>
                    </w:rPr>
                    <w:t>.1</w:t>
                  </w:r>
                </w:p>
                <w:p w:rsidR="00D418D1" w:rsidRPr="005D0CCF" w:rsidRDefault="00D418D1" w:rsidP="00D418D1">
                  <w:pPr>
                    <w:pStyle w:val="Geenafstand"/>
                    <w:rPr>
                      <w:rFonts w:ascii="Times New Roman" w:hAnsi="Times New Roman" w:cs="Times New Roman"/>
                      <w:sz w:val="16"/>
                      <w:szCs w:val="16"/>
                    </w:rPr>
                  </w:pPr>
                </w:p>
                <w:p w:rsidR="00D418D1" w:rsidRPr="008F263B" w:rsidRDefault="00D418D1" w:rsidP="00D418D1">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Je docent heeft de cijfers van een bloemenzaak in Deventer tot zijn beschikking gekregen. De cijfers hebben betrekking op 2010. Gert Schrijver, de eigenaar van de bloemenzaak, heeft een consumentenomzet behaald van € 75.983,88. Zijn omzet valt onder het hoge tarief. </w:t>
                  </w:r>
                </w:p>
                <w:p w:rsidR="00D418D1" w:rsidRPr="008F263B" w:rsidRDefault="00D418D1" w:rsidP="00D418D1">
                  <w:pPr>
                    <w:pStyle w:val="Geenafstand"/>
                    <w:rPr>
                      <w:rFonts w:ascii="Times New Roman" w:hAnsi="Times New Roman" w:cs="Times New Roman"/>
                      <w:sz w:val="24"/>
                      <w:szCs w:val="24"/>
                    </w:rPr>
                  </w:pPr>
                  <w:r w:rsidRPr="008F263B">
                    <w:rPr>
                      <w:rFonts w:ascii="Times New Roman" w:hAnsi="Times New Roman" w:cs="Times New Roman"/>
                      <w:sz w:val="24"/>
                      <w:szCs w:val="24"/>
                    </w:rPr>
                    <w:t>De brutowinst die hij behaalde was 40% van de omzet exclusief btw. De afschrijvingen en betaalde intrest bedroegen 10% van de omzet exclusief btw, de huisvestingskosten 8% van de omzet exclusief btw, de betaalde loonkosten 26% van de omzet exclusief btw en de overige kosten 4% van de omzet exclusief btw.</w:t>
                  </w:r>
                </w:p>
                <w:p w:rsidR="00D418D1" w:rsidRPr="008F263B" w:rsidRDefault="00D418D1" w:rsidP="00D418D1">
                  <w:pPr>
                    <w:pStyle w:val="Geenafstand"/>
                    <w:rPr>
                      <w:rFonts w:ascii="Times New Roman" w:hAnsi="Times New Roman" w:cs="Times New Roman"/>
                      <w:sz w:val="24"/>
                      <w:szCs w:val="24"/>
                    </w:rPr>
                  </w:pPr>
                </w:p>
                <w:p w:rsidR="00D418D1" w:rsidRPr="008F263B" w:rsidRDefault="00D418D1" w:rsidP="00D418D1">
                  <w:pPr>
                    <w:pStyle w:val="Geenafstand"/>
                    <w:rPr>
                      <w:rFonts w:ascii="Times New Roman" w:hAnsi="Times New Roman" w:cs="Times New Roman"/>
                      <w:b/>
                      <w:sz w:val="24"/>
                      <w:szCs w:val="24"/>
                    </w:rPr>
                  </w:pPr>
                  <w:r w:rsidRPr="008F263B">
                    <w:rPr>
                      <w:rFonts w:ascii="Times New Roman" w:hAnsi="Times New Roman" w:cs="Times New Roman"/>
                      <w:b/>
                      <w:sz w:val="24"/>
                      <w:szCs w:val="24"/>
                    </w:rPr>
                    <w:t>Vraag:</w:t>
                  </w:r>
                </w:p>
                <w:p w:rsidR="00D418D1" w:rsidRPr="008F263B" w:rsidRDefault="00D418D1" w:rsidP="00D418D1">
                  <w:pPr>
                    <w:pStyle w:val="Geenafstand"/>
                    <w:rPr>
                      <w:rFonts w:ascii="Times New Roman" w:hAnsi="Times New Roman" w:cs="Times New Roman"/>
                      <w:b/>
                      <w:sz w:val="24"/>
                      <w:szCs w:val="24"/>
                    </w:rPr>
                  </w:pPr>
                  <w:r w:rsidRPr="008F263B">
                    <w:rPr>
                      <w:rFonts w:ascii="Times New Roman" w:hAnsi="Times New Roman" w:cs="Times New Roman"/>
                      <w:b/>
                      <w:sz w:val="24"/>
                      <w:szCs w:val="24"/>
                    </w:rPr>
                    <w:t xml:space="preserve">Bereken voor Gert de nettowinst over 2010. Doe dit in Excel en maak gebruik van het schema zoals in de theorie naar voren is gekomen </w:t>
                  </w:r>
                  <w:r w:rsidRPr="008F263B">
                    <w:rPr>
                      <w:rFonts w:ascii="Times New Roman" w:hAnsi="Times New Roman" w:cs="Times New Roman"/>
                      <w:b/>
                      <w:bCs/>
                      <w:sz w:val="24"/>
                      <w:szCs w:val="24"/>
                    </w:rPr>
                    <w:t>en van (som)functies.</w:t>
                  </w:r>
                </w:p>
                <w:p w:rsidR="00D418D1" w:rsidRPr="008F263B" w:rsidRDefault="00D418D1" w:rsidP="00D418D1">
                  <w:pPr>
                    <w:pStyle w:val="Geenafstand"/>
                    <w:rPr>
                      <w:rFonts w:ascii="Times New Roman" w:hAnsi="Times New Roman" w:cs="Times New Roman"/>
                      <w:b/>
                      <w:sz w:val="24"/>
                      <w:szCs w:val="24"/>
                    </w:rPr>
                  </w:pPr>
                </w:p>
                <w:p w:rsidR="00D418D1" w:rsidRPr="008F263B" w:rsidRDefault="00D418D1" w:rsidP="00D418D1">
                  <w:pPr>
                    <w:pStyle w:val="Geenafstand"/>
                    <w:rPr>
                      <w:rFonts w:ascii="Times New Roman" w:hAnsi="Times New Roman" w:cs="Times New Roman"/>
                      <w:b/>
                      <w:sz w:val="24"/>
                      <w:szCs w:val="24"/>
                    </w:rPr>
                  </w:pPr>
                  <w:r w:rsidRPr="008F263B">
                    <w:rPr>
                      <w:rFonts w:ascii="Times New Roman" w:hAnsi="Times New Roman" w:cs="Times New Roman"/>
                      <w:b/>
                      <w:sz w:val="24"/>
                      <w:szCs w:val="24"/>
                    </w:rPr>
                    <w:t>Uitwerking:</w:t>
                  </w:r>
                </w:p>
                <w:tbl>
                  <w:tblPr>
                    <w:tblW w:w="8393" w:type="dxa"/>
                    <w:tblInd w:w="70" w:type="dxa"/>
                    <w:tblCellMar>
                      <w:left w:w="70" w:type="dxa"/>
                      <w:right w:w="70" w:type="dxa"/>
                    </w:tblCellMar>
                    <w:tblLook w:val="04A0"/>
                  </w:tblPr>
                  <w:tblGrid>
                    <w:gridCol w:w="2476"/>
                    <w:gridCol w:w="834"/>
                    <w:gridCol w:w="923"/>
                    <w:gridCol w:w="1627"/>
                    <w:gridCol w:w="1557"/>
                    <w:gridCol w:w="976"/>
                  </w:tblGrid>
                  <w:tr w:rsidR="00D418D1" w:rsidRPr="008F263B" w:rsidTr="00F70352">
                    <w:trPr>
                      <w:trHeight w:val="300"/>
                    </w:trPr>
                    <w:tc>
                      <w:tcPr>
                        <w:tcW w:w="7417" w:type="dxa"/>
                        <w:gridSpan w:val="5"/>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Stel als eerste het schema op, zoals in de theorie naar voren is gekomen,</w:t>
                        </w:r>
                      </w:p>
                    </w:tc>
                    <w:tc>
                      <w:tcPr>
                        <w:tcW w:w="976" w:type="dxa"/>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sz w:val="24"/>
                            <w:szCs w:val="24"/>
                          </w:rPr>
                        </w:pPr>
                      </w:p>
                    </w:tc>
                  </w:tr>
                  <w:tr w:rsidR="00D418D1" w:rsidRPr="008F263B" w:rsidTr="00F70352">
                    <w:trPr>
                      <w:trHeight w:val="315"/>
                    </w:trPr>
                    <w:tc>
                      <w:tcPr>
                        <w:tcW w:w="4233" w:type="dxa"/>
                        <w:gridSpan w:val="3"/>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en vul de gegevens in de je gegeven zijn:</w:t>
                        </w:r>
                      </w:p>
                    </w:tc>
                    <w:tc>
                      <w:tcPr>
                        <w:tcW w:w="1627" w:type="dxa"/>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sz w:val="24"/>
                            <w:szCs w:val="24"/>
                          </w:rPr>
                        </w:pPr>
                      </w:p>
                    </w:tc>
                    <w:tc>
                      <w:tcPr>
                        <w:tcW w:w="1557" w:type="dxa"/>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sz w:val="24"/>
                            <w:szCs w:val="24"/>
                          </w:rPr>
                        </w:pPr>
                      </w:p>
                    </w:tc>
                    <w:tc>
                      <w:tcPr>
                        <w:tcW w:w="976" w:type="dxa"/>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sz w:val="24"/>
                            <w:szCs w:val="24"/>
                          </w:rPr>
                        </w:pPr>
                      </w:p>
                    </w:tc>
                  </w:tr>
                  <w:tr w:rsidR="00D418D1" w:rsidRPr="008F263B" w:rsidTr="00F70352">
                    <w:trPr>
                      <w:trHeight w:val="330"/>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Consumentenomzet</w:t>
                        </w:r>
                      </w:p>
                    </w:tc>
                    <w:tc>
                      <w:tcPr>
                        <w:tcW w:w="1627" w:type="dxa"/>
                        <w:tcBorders>
                          <w:top w:val="single" w:sz="8" w:space="0" w:color="auto"/>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€ 75.983,88</w:t>
                        </w:r>
                      </w:p>
                    </w:tc>
                    <w:tc>
                      <w:tcPr>
                        <w:tcW w:w="1557" w:type="dxa"/>
                        <w:tcBorders>
                          <w:top w:val="single" w:sz="8" w:space="0" w:color="auto"/>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                         %</w:t>
                        </w:r>
                      </w:p>
                    </w:tc>
                    <w:tc>
                      <w:tcPr>
                        <w:tcW w:w="976" w:type="dxa"/>
                        <w:tcBorders>
                          <w:top w:val="single" w:sz="8" w:space="0" w:color="auto"/>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Btw</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19%</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r>
                  <w:tr w:rsidR="00D418D1" w:rsidRPr="008F263B" w:rsidTr="00F70352">
                    <w:trPr>
                      <w:trHeight w:val="315"/>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Omzet exclusief btw</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100%</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Inkoopwaarde van de omzet</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r>
                  <w:tr w:rsidR="00D418D1" w:rsidRPr="008F263B" w:rsidTr="00F70352">
                    <w:trPr>
                      <w:trHeight w:val="315"/>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Brutowinst</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40%</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15"/>
                    </w:trPr>
                    <w:tc>
                      <w:tcPr>
                        <w:tcW w:w="4233" w:type="dxa"/>
                        <w:gridSpan w:val="3"/>
                        <w:tcBorders>
                          <w:top w:val="single" w:sz="8" w:space="0" w:color="auto"/>
                          <w:left w:val="single" w:sz="8" w:space="0" w:color="auto"/>
                          <w:bottom w:val="single" w:sz="8" w:space="0" w:color="auto"/>
                          <w:right w:val="single" w:sz="8" w:space="0" w:color="000000"/>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15"/>
                    </w:trPr>
                    <w:tc>
                      <w:tcPr>
                        <w:tcW w:w="2476" w:type="dxa"/>
                        <w:tcBorders>
                          <w:top w:val="nil"/>
                          <w:left w:val="single" w:sz="8" w:space="0" w:color="auto"/>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b/>
                            <w:bCs/>
                            <w:sz w:val="24"/>
                            <w:szCs w:val="24"/>
                          </w:rPr>
                        </w:pPr>
                        <w:r w:rsidRPr="008F263B">
                          <w:rPr>
                            <w:rFonts w:ascii="Times New Roman" w:hAnsi="Times New Roman" w:cs="Times New Roman"/>
                            <w:b/>
                            <w:bCs/>
                            <w:sz w:val="24"/>
                            <w:szCs w:val="24"/>
                          </w:rPr>
                          <w:t>Kosten:</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615"/>
                    </w:trPr>
                    <w:tc>
                      <w:tcPr>
                        <w:tcW w:w="2476" w:type="dxa"/>
                        <w:tcBorders>
                          <w:top w:val="nil"/>
                          <w:left w:val="single" w:sz="8" w:space="0" w:color="auto"/>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Afschrijvingen en betaling intrest</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10%</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2476" w:type="dxa"/>
                        <w:tcBorders>
                          <w:top w:val="nil"/>
                          <w:left w:val="single" w:sz="8" w:space="0" w:color="auto"/>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Huisvestingskosten</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8%</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2476" w:type="dxa"/>
                        <w:tcBorders>
                          <w:top w:val="nil"/>
                          <w:left w:val="single" w:sz="8" w:space="0" w:color="auto"/>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Betaalde loonkosten</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26%</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2476" w:type="dxa"/>
                        <w:tcBorders>
                          <w:top w:val="nil"/>
                          <w:left w:val="single" w:sz="8" w:space="0" w:color="auto"/>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Overige kosten</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4%</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r w:rsidR="00D418D1" w:rsidRPr="008F263B" w:rsidTr="00F70352">
                    <w:trPr>
                      <w:trHeight w:val="330"/>
                    </w:trPr>
                    <w:tc>
                      <w:tcPr>
                        <w:tcW w:w="2476" w:type="dxa"/>
                        <w:tcBorders>
                          <w:top w:val="nil"/>
                          <w:left w:val="nil"/>
                          <w:bottom w:val="nil"/>
                          <w:right w:val="nil"/>
                        </w:tcBorders>
                        <w:shd w:val="clear" w:color="auto" w:fill="auto"/>
                        <w:noWrap/>
                        <w:vAlign w:val="bottom"/>
                        <w:hideMark/>
                      </w:tcPr>
                      <w:p w:rsidR="00D418D1" w:rsidRPr="008F263B" w:rsidRDefault="00D418D1" w:rsidP="00F70352">
                        <w:pPr>
                          <w:pStyle w:val="Geenafstand"/>
                          <w:rPr>
                            <w:rFonts w:ascii="Times New Roman" w:hAnsi="Times New Roman" w:cs="Times New Roman"/>
                            <w:b/>
                            <w:bCs/>
                            <w:sz w:val="24"/>
                            <w:szCs w:val="24"/>
                          </w:rPr>
                        </w:pPr>
                        <w:r w:rsidRPr="008F263B">
                          <w:rPr>
                            <w:rFonts w:ascii="Times New Roman" w:hAnsi="Times New Roman" w:cs="Times New Roman"/>
                            <w:b/>
                            <w:bCs/>
                            <w:sz w:val="24"/>
                            <w:szCs w:val="24"/>
                          </w:rPr>
                          <w:t>Totale kosten</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48%</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r>
                  <w:tr w:rsidR="00D418D1" w:rsidRPr="008F263B" w:rsidTr="00F70352">
                    <w:trPr>
                      <w:trHeight w:val="330"/>
                    </w:trPr>
                    <w:tc>
                      <w:tcPr>
                        <w:tcW w:w="2476" w:type="dxa"/>
                        <w:tcBorders>
                          <w:top w:val="nil"/>
                          <w:left w:val="single" w:sz="8" w:space="0" w:color="auto"/>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Nettowinst</w:t>
                        </w:r>
                      </w:p>
                    </w:tc>
                    <w:tc>
                      <w:tcPr>
                        <w:tcW w:w="834"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923"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c>
                      <w:tcPr>
                        <w:tcW w:w="162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w:t>
                        </w:r>
                      </w:p>
                    </w:tc>
                    <w:tc>
                      <w:tcPr>
                        <w:tcW w:w="1557"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xml:space="preserve">                %</w:t>
                        </w:r>
                      </w:p>
                    </w:tc>
                    <w:tc>
                      <w:tcPr>
                        <w:tcW w:w="976" w:type="dxa"/>
                        <w:tcBorders>
                          <w:top w:val="nil"/>
                          <w:left w:val="nil"/>
                          <w:bottom w:val="single" w:sz="8" w:space="0" w:color="auto"/>
                          <w:right w:val="single" w:sz="8" w:space="0" w:color="auto"/>
                        </w:tcBorders>
                        <w:shd w:val="clear" w:color="auto" w:fill="auto"/>
                        <w:hideMark/>
                      </w:tcPr>
                      <w:p w:rsidR="00D418D1" w:rsidRPr="008F263B" w:rsidRDefault="00D418D1" w:rsidP="00F70352">
                        <w:pPr>
                          <w:pStyle w:val="Geenafstand"/>
                          <w:rPr>
                            <w:rFonts w:ascii="Times New Roman" w:hAnsi="Times New Roman" w:cs="Times New Roman"/>
                            <w:sz w:val="24"/>
                            <w:szCs w:val="24"/>
                          </w:rPr>
                        </w:pPr>
                        <w:r w:rsidRPr="008F263B">
                          <w:rPr>
                            <w:rFonts w:ascii="Times New Roman" w:hAnsi="Times New Roman" w:cs="Times New Roman"/>
                            <w:sz w:val="24"/>
                            <w:szCs w:val="24"/>
                          </w:rPr>
                          <w:t> </w:t>
                        </w:r>
                      </w:p>
                    </w:tc>
                  </w:tr>
                </w:tbl>
                <w:p w:rsidR="00D418D1" w:rsidRPr="00F70352" w:rsidRDefault="00D418D1" w:rsidP="00D418D1">
                  <w:pPr>
                    <w:pStyle w:val="Geenafstand"/>
                    <w:rPr>
                      <w:rFonts w:ascii="Times New Roman" w:hAnsi="Times New Roman" w:cs="Times New Roman"/>
                      <w:b/>
                      <w:sz w:val="24"/>
                      <w:szCs w:val="24"/>
                    </w:rPr>
                  </w:pPr>
                </w:p>
              </w:txbxContent>
            </v:textbox>
          </v:shape>
        </w:pict>
      </w:r>
    </w:p>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721F6B">
      <w:r>
        <w:rPr>
          <w:noProof/>
        </w:rPr>
        <w:lastRenderedPageBreak/>
        <w:pict>
          <v:shape id="_x0000_s1029" type="#_x0000_t202" style="position:absolute;margin-left:-3.05pt;margin-top:3.85pt;width:459.5pt;height:678.8pt;z-index:251663360;mso-width-relative:margin;mso-height-relative:margin">
            <v:textbox style="mso-next-textbox:#_x0000_s1029">
              <w:txbxContent>
                <w:p w:rsidR="00721F6B" w:rsidRDefault="00721F6B" w:rsidP="00721F6B">
                  <w:pPr>
                    <w:pStyle w:val="Geenafstand"/>
                    <w:rPr>
                      <w:rFonts w:ascii="Times New Roman" w:hAnsi="Times New Roman" w:cs="Times New Roman"/>
                      <w:b/>
                    </w:rPr>
                  </w:pPr>
                  <w:r w:rsidRPr="009A1046">
                    <w:rPr>
                      <w:rFonts w:ascii="Times New Roman" w:hAnsi="Times New Roman" w:cs="Times New Roman"/>
                      <w:b/>
                    </w:rPr>
                    <w:t xml:space="preserve">Vervolg uitwerking </w:t>
                  </w:r>
                  <w:r>
                    <w:rPr>
                      <w:rFonts w:ascii="Times New Roman" w:hAnsi="Times New Roman" w:cs="Times New Roman"/>
                      <w:b/>
                    </w:rPr>
                    <w:t>opdracht</w:t>
                  </w:r>
                  <w:r w:rsidRPr="009A1046">
                    <w:rPr>
                      <w:rFonts w:ascii="Times New Roman" w:hAnsi="Times New Roman" w:cs="Times New Roman"/>
                      <w:b/>
                    </w:rPr>
                    <w:t xml:space="preserve"> </w:t>
                  </w:r>
                  <w:r>
                    <w:rPr>
                      <w:rFonts w:ascii="Times New Roman" w:hAnsi="Times New Roman" w:cs="Times New Roman"/>
                      <w:b/>
                    </w:rPr>
                    <w:t>4</w:t>
                  </w:r>
                  <w:r w:rsidRPr="009A1046">
                    <w:rPr>
                      <w:rFonts w:ascii="Times New Roman" w:hAnsi="Times New Roman" w:cs="Times New Roman"/>
                      <w:b/>
                    </w:rPr>
                    <w:t>.1</w:t>
                  </w:r>
                </w:p>
                <w:tbl>
                  <w:tblPr>
                    <w:tblW w:w="8688" w:type="dxa"/>
                    <w:tblInd w:w="70" w:type="dxa"/>
                    <w:tblCellMar>
                      <w:left w:w="70" w:type="dxa"/>
                      <w:right w:w="70" w:type="dxa"/>
                    </w:tblCellMar>
                    <w:tblLook w:val="04A0"/>
                  </w:tblPr>
                  <w:tblGrid>
                    <w:gridCol w:w="2402"/>
                    <w:gridCol w:w="1307"/>
                    <w:gridCol w:w="960"/>
                    <w:gridCol w:w="1579"/>
                    <w:gridCol w:w="1679"/>
                    <w:gridCol w:w="761"/>
                  </w:tblGrid>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Met deze gegevens kun je de nettowinst berekenen. Dit doe je door de ontbrekende getallen </w:t>
                        </w:r>
                      </w:p>
                    </w:tc>
                  </w:tr>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uit te rekenen en in te vullen. De berekeningen komen overeen met de berekeningen die </w:t>
                        </w:r>
                      </w:p>
                    </w:tc>
                  </w:tr>
                  <w:tr w:rsidR="00721F6B" w:rsidRPr="00F70352" w:rsidTr="00F70352">
                    <w:trPr>
                      <w:trHeight w:val="300"/>
                    </w:trPr>
                    <w:tc>
                      <w:tcPr>
                        <w:tcW w:w="7927" w:type="dxa"/>
                        <w:gridSpan w:val="5"/>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gemaakt zijn in H1 en H2. Dit kun je eventueel nog een nakijken. </w:t>
                        </w: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2402"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307"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960"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5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7927" w:type="dxa"/>
                        <w:gridSpan w:val="5"/>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De consumentenomzet is 119% omdat dit de omzet exclusief btw en de btw is. </w:t>
                        </w: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Deel € 75.983,88 door 119 om 1% te krijgen en vermenigvuldig dit met 19% en 100% </w:t>
                        </w:r>
                      </w:p>
                    </w:tc>
                  </w:tr>
                  <w:tr w:rsidR="00721F6B" w:rsidRPr="00F70352" w:rsidTr="00F70352">
                    <w:trPr>
                      <w:trHeight w:val="300"/>
                    </w:trPr>
                    <w:tc>
                      <w:tcPr>
                        <w:tcW w:w="7927" w:type="dxa"/>
                        <w:gridSpan w:val="5"/>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om de btw en de omzet exclusief btw te berekenen. Vul deze bedragen in.</w:t>
                        </w: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2402"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307"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960"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5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Je weet dat de brutowinst 40% is, dus is de inkoopwaarde van de omzet de overige 60%. </w:t>
                        </w:r>
                      </w:p>
                    </w:tc>
                  </w:tr>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Default="00721F6B" w:rsidP="00F70352">
                        <w:pPr>
                          <w:pStyle w:val="Geenafstand"/>
                          <w:rPr>
                            <w:rFonts w:ascii="Times New Roman" w:hAnsi="Times New Roman" w:cs="Times New Roman"/>
                          </w:rPr>
                        </w:pPr>
                        <w:r w:rsidRPr="00F70352">
                          <w:rPr>
                            <w:rFonts w:ascii="Times New Roman" w:hAnsi="Times New Roman" w:cs="Times New Roman"/>
                          </w:rPr>
                          <w:t>Deel</w:t>
                        </w:r>
                        <w:r>
                          <w:rPr>
                            <w:rFonts w:ascii="Times New Roman" w:hAnsi="Times New Roman" w:cs="Times New Roman"/>
                          </w:rPr>
                          <w:t xml:space="preserve"> de  € 63.</w:t>
                        </w:r>
                        <w:r w:rsidRPr="00F70352">
                          <w:rPr>
                            <w:rFonts w:ascii="Times New Roman" w:hAnsi="Times New Roman" w:cs="Times New Roman"/>
                          </w:rPr>
                          <w:t xml:space="preserve">852,00 door 100 en vermenigvuldig het met 60% en  40% je hebt de beide bedragen. </w:t>
                        </w:r>
                      </w:p>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Nu je de brutowinst weet, kun je hier de gemaakte kosten bij in mindering brengen. Reken de </w:t>
                        </w:r>
                      </w:p>
                    </w:tc>
                  </w:tr>
                  <w:tr w:rsidR="00721F6B" w:rsidRPr="00F70352" w:rsidTr="00F70352">
                    <w:trPr>
                      <w:trHeight w:val="300"/>
                    </w:trPr>
                    <w:tc>
                      <w:tcPr>
                        <w:tcW w:w="7927" w:type="dxa"/>
                        <w:gridSpan w:val="5"/>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betreffende percentages die bij de kosten horen uit en vul het bedrag in euro’s in. </w:t>
                        </w: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6248" w:type="dxa"/>
                        <w:gridSpan w:val="4"/>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Bij de betaalde loonkosten doe je dit als volgt: </w:t>
                        </w: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6248" w:type="dxa"/>
                        <w:gridSpan w:val="4"/>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€ 63.852,00 (omzet exclusief btw) : 100 x 26% = € 16.601,52.</w:t>
                        </w: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2402"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307"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960"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5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6248" w:type="dxa"/>
                        <w:gridSpan w:val="4"/>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Doe dit met de rest van de kosten en vul dit in.</w:t>
                        </w: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2402"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307"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960"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5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7927" w:type="dxa"/>
                        <w:gridSpan w:val="5"/>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Verminder de brutowinst met de totale kosten en je krijgt de nettowinst:</w:t>
                        </w: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8688" w:type="dxa"/>
                        <w:gridSpan w:val="6"/>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xml:space="preserve">€ 25.529,80 - € 30.648,96 = -€ 5.119,16 De nettowinst is -8% van de omzet exclusief btw. </w:t>
                        </w:r>
                      </w:p>
                    </w:tc>
                  </w:tr>
                  <w:tr w:rsidR="00721F6B" w:rsidRPr="00F70352" w:rsidTr="00F70352">
                    <w:trPr>
                      <w:trHeight w:val="300"/>
                    </w:trPr>
                    <w:tc>
                      <w:tcPr>
                        <w:tcW w:w="7927" w:type="dxa"/>
                        <w:gridSpan w:val="5"/>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Dit reken je als volgt uit: -€ 5.119,16 : € 63.852,00 x 100%  =  -8%</w:t>
                        </w: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00"/>
                    </w:trPr>
                    <w:tc>
                      <w:tcPr>
                        <w:tcW w:w="2402"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307"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960"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5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15"/>
                    </w:trPr>
                    <w:tc>
                      <w:tcPr>
                        <w:tcW w:w="4669" w:type="dxa"/>
                        <w:gridSpan w:val="3"/>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Je krijgt dat het volgende overzicht:</w:t>
                        </w:r>
                      </w:p>
                    </w:tc>
                    <w:tc>
                      <w:tcPr>
                        <w:tcW w:w="15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1679"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c>
                      <w:tcPr>
                        <w:tcW w:w="761"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rPr>
                        </w:pP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Consumentenomzet</w:t>
                        </w:r>
                      </w:p>
                    </w:tc>
                    <w:tc>
                      <w:tcPr>
                        <w:tcW w:w="1579" w:type="dxa"/>
                        <w:tcBorders>
                          <w:top w:val="single" w:sz="8" w:space="0" w:color="auto"/>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€ 75.983,88</w:t>
                        </w:r>
                      </w:p>
                    </w:tc>
                    <w:tc>
                      <w:tcPr>
                        <w:tcW w:w="1679" w:type="dxa"/>
                        <w:tcBorders>
                          <w:top w:val="single" w:sz="8" w:space="0" w:color="auto"/>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119%</w:t>
                        </w:r>
                      </w:p>
                    </w:tc>
                    <w:tc>
                      <w:tcPr>
                        <w:tcW w:w="761" w:type="dxa"/>
                        <w:tcBorders>
                          <w:top w:val="single" w:sz="8" w:space="0" w:color="auto"/>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Btw</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€ 12.131,88</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19%</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Omzet exclusief btw</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€ 63.852,00</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100%</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Inkoopwaarde van de omzet</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€ 38.322,20</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60%</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Brutowinst</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€ 25.529,80</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40%</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4669" w:type="dxa"/>
                        <w:gridSpan w:val="3"/>
                        <w:tcBorders>
                          <w:top w:val="single" w:sz="8" w:space="0" w:color="auto"/>
                          <w:left w:val="single" w:sz="8" w:space="0" w:color="auto"/>
                          <w:bottom w:val="single" w:sz="8" w:space="0" w:color="auto"/>
                          <w:right w:val="single" w:sz="8" w:space="0" w:color="000000"/>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2402" w:type="dxa"/>
                        <w:tcBorders>
                          <w:top w:val="nil"/>
                          <w:left w:val="single" w:sz="8" w:space="0" w:color="auto"/>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b/>
                            <w:bCs/>
                          </w:rPr>
                        </w:pPr>
                        <w:r w:rsidRPr="00F70352">
                          <w:rPr>
                            <w:rFonts w:ascii="Times New Roman" w:hAnsi="Times New Roman" w:cs="Times New Roman"/>
                            <w:b/>
                            <w:bCs/>
                          </w:rPr>
                          <w:t>Kosten:</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615"/>
                    </w:trPr>
                    <w:tc>
                      <w:tcPr>
                        <w:tcW w:w="2402" w:type="dxa"/>
                        <w:tcBorders>
                          <w:top w:val="nil"/>
                          <w:left w:val="single" w:sz="8" w:space="0" w:color="auto"/>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Afschrijvingen en betaling intrest</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€ 6.385,20</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10%</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2402" w:type="dxa"/>
                        <w:tcBorders>
                          <w:top w:val="nil"/>
                          <w:left w:val="single" w:sz="8" w:space="0" w:color="auto"/>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Huisvestingskosten</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€ 5.108,16</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8%</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2402" w:type="dxa"/>
                        <w:tcBorders>
                          <w:top w:val="nil"/>
                          <w:left w:val="single" w:sz="8" w:space="0" w:color="auto"/>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Betaalde loonkosten</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€ 16.601,52</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26%</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2402" w:type="dxa"/>
                        <w:tcBorders>
                          <w:top w:val="nil"/>
                          <w:left w:val="single" w:sz="8" w:space="0" w:color="auto"/>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Overige kosten</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€ 2.554,08</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4%</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r w:rsidR="00721F6B" w:rsidRPr="00F70352" w:rsidTr="00F70352">
                    <w:trPr>
                      <w:trHeight w:val="315"/>
                    </w:trPr>
                    <w:tc>
                      <w:tcPr>
                        <w:tcW w:w="2402" w:type="dxa"/>
                        <w:tcBorders>
                          <w:top w:val="nil"/>
                          <w:left w:val="nil"/>
                          <w:bottom w:val="nil"/>
                          <w:right w:val="nil"/>
                        </w:tcBorders>
                        <w:shd w:val="clear" w:color="auto" w:fill="auto"/>
                        <w:noWrap/>
                        <w:vAlign w:val="bottom"/>
                        <w:hideMark/>
                      </w:tcPr>
                      <w:p w:rsidR="00721F6B" w:rsidRPr="00F70352" w:rsidRDefault="00721F6B" w:rsidP="00F70352">
                        <w:pPr>
                          <w:pStyle w:val="Geenafstand"/>
                          <w:rPr>
                            <w:rFonts w:ascii="Times New Roman" w:hAnsi="Times New Roman" w:cs="Times New Roman"/>
                            <w:b/>
                            <w:bCs/>
                          </w:rPr>
                        </w:pPr>
                        <w:r w:rsidRPr="00F70352">
                          <w:rPr>
                            <w:rFonts w:ascii="Times New Roman" w:hAnsi="Times New Roman" w:cs="Times New Roman"/>
                            <w:b/>
                            <w:bCs/>
                          </w:rPr>
                          <w:t>Totale kosten</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€ 30.648,96</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48%</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w:t>
                        </w:r>
                      </w:p>
                    </w:tc>
                  </w:tr>
                  <w:tr w:rsidR="00721F6B" w:rsidRPr="00F70352" w:rsidTr="00F70352">
                    <w:trPr>
                      <w:trHeight w:val="315"/>
                    </w:trPr>
                    <w:tc>
                      <w:tcPr>
                        <w:tcW w:w="2402" w:type="dxa"/>
                        <w:tcBorders>
                          <w:top w:val="nil"/>
                          <w:left w:val="single" w:sz="8" w:space="0" w:color="auto"/>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Nettoverlies</w:t>
                        </w:r>
                      </w:p>
                    </w:tc>
                    <w:tc>
                      <w:tcPr>
                        <w:tcW w:w="1307"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960"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c>
                      <w:tcPr>
                        <w:tcW w:w="15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-€ 5.119,16</w:t>
                        </w:r>
                      </w:p>
                    </w:tc>
                    <w:tc>
                      <w:tcPr>
                        <w:tcW w:w="1679"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-8%</w:t>
                        </w:r>
                      </w:p>
                    </w:tc>
                    <w:tc>
                      <w:tcPr>
                        <w:tcW w:w="761" w:type="dxa"/>
                        <w:tcBorders>
                          <w:top w:val="nil"/>
                          <w:left w:val="nil"/>
                          <w:bottom w:val="single" w:sz="8" w:space="0" w:color="auto"/>
                          <w:right w:val="single" w:sz="8" w:space="0" w:color="auto"/>
                        </w:tcBorders>
                        <w:shd w:val="clear" w:color="auto" w:fill="auto"/>
                        <w:hideMark/>
                      </w:tcPr>
                      <w:p w:rsidR="00721F6B" w:rsidRPr="00F70352" w:rsidRDefault="00721F6B" w:rsidP="00F70352">
                        <w:pPr>
                          <w:pStyle w:val="Geenafstand"/>
                          <w:rPr>
                            <w:rFonts w:ascii="Times New Roman" w:hAnsi="Times New Roman" w:cs="Times New Roman"/>
                          </w:rPr>
                        </w:pPr>
                        <w:r w:rsidRPr="00F70352">
                          <w:rPr>
                            <w:rFonts w:ascii="Times New Roman" w:hAnsi="Times New Roman" w:cs="Times New Roman"/>
                          </w:rPr>
                          <w:t> </w:t>
                        </w:r>
                      </w:p>
                    </w:tc>
                  </w:tr>
                </w:tbl>
                <w:p w:rsidR="00721F6B" w:rsidRDefault="00721F6B" w:rsidP="00721F6B">
                  <w:pPr>
                    <w:pStyle w:val="Geenafstand"/>
                    <w:rPr>
                      <w:rFonts w:ascii="Times New Roman" w:hAnsi="Times New Roman" w:cs="Times New Roman"/>
                      <w:b/>
                    </w:rPr>
                  </w:pPr>
                </w:p>
                <w:p w:rsidR="00721F6B" w:rsidRPr="009A1046" w:rsidRDefault="00721F6B" w:rsidP="00721F6B">
                  <w:pPr>
                    <w:pStyle w:val="Geenafstand"/>
                    <w:rPr>
                      <w:rFonts w:ascii="Times New Roman" w:hAnsi="Times New Roman" w:cs="Times New Roman"/>
                      <w:b/>
                    </w:rPr>
                  </w:pPr>
                  <w:r>
                    <w:rPr>
                      <w:rFonts w:ascii="Times New Roman" w:hAnsi="Times New Roman" w:cs="Times New Roman"/>
                      <w:b/>
                    </w:rPr>
                    <w:t>Je ziet dus dat Gert verlies heeft gedraaid. Zijn kosten (48%) zijn hoger dan zijn brutowinst (40%).</w:t>
                  </w:r>
                </w:p>
              </w:txbxContent>
            </v:textbox>
          </v:shape>
        </w:pict>
      </w:r>
    </w:p>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Default="00D418D1"/>
    <w:p w:rsidR="00D418D1" w:rsidRPr="00ED596D" w:rsidRDefault="00D418D1"/>
    <w:sectPr w:rsidR="00D418D1" w:rsidRPr="00ED596D" w:rsidSect="00CA5C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7190E"/>
    <w:multiLevelType w:val="hybridMultilevel"/>
    <w:tmpl w:val="1BDC11C6"/>
    <w:lvl w:ilvl="0" w:tplc="8D8E00EE">
      <w:numFmt w:val="bullet"/>
      <w:lvlText w:val="-"/>
      <w:lvlJc w:val="left"/>
      <w:pPr>
        <w:ind w:left="720" w:hanging="360"/>
      </w:pPr>
      <w:rPr>
        <w:rFonts w:ascii="Times New Roman" w:eastAsiaTheme="minorEastAsia"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compat>
    <w:useFELayout/>
  </w:compat>
  <w:rsids>
    <w:rsidRoot w:val="00F75709"/>
    <w:rsid w:val="001D564A"/>
    <w:rsid w:val="002774CF"/>
    <w:rsid w:val="003637E6"/>
    <w:rsid w:val="003C4FEA"/>
    <w:rsid w:val="005D4D44"/>
    <w:rsid w:val="00641FF6"/>
    <w:rsid w:val="006B6E82"/>
    <w:rsid w:val="006F6172"/>
    <w:rsid w:val="00721F6B"/>
    <w:rsid w:val="00722B3B"/>
    <w:rsid w:val="00757A1C"/>
    <w:rsid w:val="00780104"/>
    <w:rsid w:val="00812729"/>
    <w:rsid w:val="008D7768"/>
    <w:rsid w:val="0094774D"/>
    <w:rsid w:val="0096380B"/>
    <w:rsid w:val="00967BF3"/>
    <w:rsid w:val="009B099B"/>
    <w:rsid w:val="00A130B3"/>
    <w:rsid w:val="00B93167"/>
    <w:rsid w:val="00BD7AB4"/>
    <w:rsid w:val="00CA5C01"/>
    <w:rsid w:val="00CC7206"/>
    <w:rsid w:val="00D125B8"/>
    <w:rsid w:val="00D418D1"/>
    <w:rsid w:val="00DB60D8"/>
    <w:rsid w:val="00DD3029"/>
    <w:rsid w:val="00E96C84"/>
    <w:rsid w:val="00ED596D"/>
    <w:rsid w:val="00F75709"/>
  </w:rsids>
  <m:mathPr>
    <m:mathFont m:val="Cambria Math"/>
    <m:brkBin m:val="before"/>
    <m:brkBinSub m:val="--"/>
    <m:smallFrac m:val="off"/>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5C01"/>
  </w:style>
  <w:style w:type="paragraph" w:styleId="Kop3">
    <w:name w:val="heading 3"/>
    <w:basedOn w:val="Standaard"/>
    <w:next w:val="Standaard"/>
    <w:link w:val="Kop3Char"/>
    <w:uiPriority w:val="9"/>
    <w:unhideWhenUsed/>
    <w:qFormat/>
    <w:rsid w:val="009B099B"/>
    <w:pPr>
      <w:keepNext/>
      <w:keepLines/>
      <w:spacing w:before="200" w:after="0"/>
      <w:outlineLvl w:val="2"/>
    </w:pPr>
    <w:rPr>
      <w:rFonts w:asciiTheme="majorHAnsi" w:eastAsiaTheme="majorEastAsia" w:hAnsiTheme="majorHAnsi" w:cs="Times New Roman"/>
      <w:b/>
      <w:bCs/>
      <w:noProo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F75709"/>
    <w:pPr>
      <w:spacing w:after="0" w:line="240" w:lineRule="auto"/>
    </w:pPr>
  </w:style>
  <w:style w:type="character" w:customStyle="1" w:styleId="GeenafstandChar">
    <w:name w:val="Geen afstand Char"/>
    <w:basedOn w:val="Standaardalinea-lettertype"/>
    <w:link w:val="Geenafstand"/>
    <w:uiPriority w:val="1"/>
    <w:rsid w:val="00F75709"/>
  </w:style>
  <w:style w:type="character" w:styleId="Nadruk">
    <w:name w:val="Emphasis"/>
    <w:basedOn w:val="Standaardalinea-lettertype"/>
    <w:uiPriority w:val="20"/>
    <w:qFormat/>
    <w:rsid w:val="00BD7AB4"/>
    <w:rPr>
      <w:i/>
      <w:iCs/>
    </w:rPr>
  </w:style>
  <w:style w:type="paragraph" w:styleId="Ballontekst">
    <w:name w:val="Balloon Text"/>
    <w:basedOn w:val="Standaard"/>
    <w:link w:val="BallontekstChar"/>
    <w:uiPriority w:val="99"/>
    <w:semiHidden/>
    <w:unhideWhenUsed/>
    <w:rsid w:val="002774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74CF"/>
    <w:rPr>
      <w:rFonts w:ascii="Tahoma" w:hAnsi="Tahoma" w:cs="Tahoma"/>
      <w:sz w:val="16"/>
      <w:szCs w:val="16"/>
    </w:rPr>
  </w:style>
  <w:style w:type="character" w:customStyle="1" w:styleId="Kop3Char">
    <w:name w:val="Kop 3 Char"/>
    <w:basedOn w:val="Standaardalinea-lettertype"/>
    <w:link w:val="Kop3"/>
    <w:uiPriority w:val="9"/>
    <w:rsid w:val="009B099B"/>
    <w:rPr>
      <w:rFonts w:asciiTheme="majorHAnsi" w:eastAsiaTheme="majorEastAsia" w:hAnsiTheme="majorHAnsi" w:cs="Times New Roman"/>
      <w:b/>
      <w:bCs/>
      <w:noProof/>
      <w:sz w:val="24"/>
      <w:szCs w:val="24"/>
    </w:rPr>
  </w:style>
  <w:style w:type="character" w:styleId="Zwaar">
    <w:name w:val="Strong"/>
    <w:basedOn w:val="Standaardalinea-lettertype"/>
    <w:uiPriority w:val="22"/>
    <w:qFormat/>
    <w:rsid w:val="00D125B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72F4B-10C9-4A09-B4CE-05F04A932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Words>
  <Characters>33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Vloedgraven</dc:creator>
  <cp:lastModifiedBy>Peter Vloedgraven</cp:lastModifiedBy>
  <cp:revision>2</cp:revision>
  <dcterms:created xsi:type="dcterms:W3CDTF">2012-06-07T16:56:00Z</dcterms:created>
  <dcterms:modified xsi:type="dcterms:W3CDTF">2012-06-07T16:56:00Z</dcterms:modified>
</cp:coreProperties>
</file>