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b/>
          <w:bCs/>
          <w:snapToGrid/>
          <w:sz w:val="32"/>
          <w:szCs w:val="32"/>
        </w:rPr>
      </w:pPr>
      <w:r>
        <w:rPr>
          <w:rFonts w:ascii="Tahoma" w:hAnsi="Tahoma" w:cs="Tahoma"/>
          <w:b/>
          <w:bCs/>
          <w:snapToGrid/>
          <w:sz w:val="32"/>
          <w:szCs w:val="32"/>
        </w:rPr>
        <w:t>Bijlage 2</w:t>
      </w:r>
      <w:r>
        <w:rPr>
          <w:rFonts w:ascii="Tahoma" w:hAnsi="Tahoma" w:cs="Tahoma"/>
          <w:b/>
          <w:bCs/>
          <w:snapToGrid/>
          <w:sz w:val="32"/>
          <w:szCs w:val="32"/>
        </w:rPr>
        <w:tab/>
      </w:r>
      <w:r>
        <w:rPr>
          <w:rFonts w:ascii="Tahoma" w:hAnsi="Tahoma" w:cs="Tahoma"/>
          <w:b/>
          <w:bCs/>
          <w:snapToGrid/>
          <w:sz w:val="32"/>
          <w:szCs w:val="32"/>
        </w:rPr>
        <w:tab/>
        <w:t xml:space="preserve">Etiket 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b/>
          <w:bCs/>
          <w:snapToGrid/>
          <w:sz w:val="20"/>
          <w:szCs w:val="20"/>
        </w:rPr>
      </w:pP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b/>
          <w:bCs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b/>
          <w:bCs/>
          <w:snapToGrid/>
          <w:sz w:val="20"/>
          <w:szCs w:val="20"/>
        </w:rPr>
      </w:pPr>
      <w:proofErr w:type="spellStart"/>
      <w:r w:rsidRPr="00AF4A28">
        <w:rPr>
          <w:rFonts w:ascii="Tahoma" w:hAnsi="Tahoma" w:cs="Tahoma"/>
          <w:b/>
          <w:bCs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b/>
          <w:bCs/>
          <w:snapToGrid/>
          <w:sz w:val="20"/>
          <w:szCs w:val="20"/>
        </w:rPr>
        <w:t xml:space="preserve"> Gold, 12281 N</w:t>
      </w:r>
    </w:p>
    <w:p w:rsidR="00015A37" w:rsidRDefault="00015A37" w:rsidP="00015A37">
      <w:pPr>
        <w:widowControl/>
        <w:autoSpaceDE w:val="0"/>
        <w:autoSpaceDN w:val="0"/>
        <w:adjustRightInd w:val="0"/>
        <w:jc w:val="center"/>
        <w:rPr>
          <w:rFonts w:ascii="Tahoma" w:hAnsi="Tahoma" w:cs="Tahoma"/>
          <w:b/>
          <w:bCs/>
          <w:snapToGrid/>
          <w:sz w:val="20"/>
          <w:szCs w:val="20"/>
          <w:u w:val="single"/>
        </w:rPr>
      </w:pPr>
      <w:r w:rsidRPr="00AF4A28">
        <w:rPr>
          <w:rFonts w:ascii="Tahoma" w:hAnsi="Tahoma" w:cs="Tahoma"/>
          <w:b/>
          <w:bCs/>
          <w:snapToGrid/>
          <w:sz w:val="20"/>
          <w:szCs w:val="20"/>
          <w:u w:val="single"/>
        </w:rPr>
        <w:t>WETTELIJK GEBRUIKSVOORSCHRIFT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jc w:val="center"/>
        <w:rPr>
          <w:rFonts w:ascii="Tahoma" w:hAnsi="Tahoma" w:cs="Tahoma"/>
          <w:b/>
          <w:bCs/>
          <w:snapToGrid/>
          <w:sz w:val="20"/>
          <w:szCs w:val="20"/>
          <w:u w:val="single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Toegestaan is uitsluitend het gebruik als schimmel</w:t>
      </w:r>
      <w:r>
        <w:rPr>
          <w:rFonts w:ascii="Tahoma" w:hAnsi="Tahoma" w:cs="Tahoma"/>
          <w:snapToGrid/>
          <w:sz w:val="20"/>
          <w:szCs w:val="20"/>
        </w:rPr>
        <w:t>gewasbeschermingsmiddel</w:t>
      </w:r>
      <w:r w:rsidRPr="00AF4A28">
        <w:rPr>
          <w:rFonts w:ascii="Tahoma" w:hAnsi="Tahoma" w:cs="Tahoma"/>
          <w:snapToGrid/>
          <w:sz w:val="20"/>
          <w:szCs w:val="20"/>
        </w:rPr>
        <w:t xml:space="preserve"> in de teelt van: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a. bloembollen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b. bolbloemen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c. bloemisterijgewassen onder glas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d. containerteelt van boomkwekerijgewassen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b/>
          <w:bCs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jc w:val="center"/>
        <w:rPr>
          <w:rFonts w:ascii="Tahoma" w:hAnsi="Tahoma" w:cs="Tahoma"/>
          <w:b/>
          <w:bCs/>
          <w:snapToGrid/>
          <w:sz w:val="20"/>
          <w:szCs w:val="20"/>
          <w:u w:val="single"/>
        </w:rPr>
      </w:pPr>
      <w:r w:rsidRPr="00AF4A28">
        <w:rPr>
          <w:rFonts w:ascii="Tahoma" w:hAnsi="Tahoma" w:cs="Tahoma"/>
          <w:b/>
          <w:bCs/>
          <w:snapToGrid/>
          <w:sz w:val="20"/>
          <w:szCs w:val="20"/>
          <w:u w:val="single"/>
        </w:rPr>
        <w:t>GEBRUIKSAANWIJZING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b/>
          <w:bCs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b/>
          <w:bCs/>
          <w:snapToGrid/>
          <w:sz w:val="20"/>
          <w:szCs w:val="20"/>
        </w:rPr>
      </w:pPr>
      <w:r w:rsidRPr="00AF4A28">
        <w:rPr>
          <w:rFonts w:ascii="Tahoma" w:hAnsi="Tahoma" w:cs="Tahoma"/>
          <w:b/>
          <w:bCs/>
          <w:snapToGrid/>
          <w:sz w:val="20"/>
          <w:szCs w:val="20"/>
        </w:rPr>
        <w:t>Algemeen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 is een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systemisch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fungicide met een preventieve en curatieve werking.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Resistentie management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In bepaalde gevallen is het mogelijk, dat schimmelstammen of – soorten minder gevoelig zijn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voor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metalaxyl-M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>. Het gevolg is minder goede resultaten of zelfs opbrengstverliezen. Het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optreden van verminderde gevoeligheid, tot zelfs volledige resistentie van schimmelstammen,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is niet te voorspellen.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Vanwege de kans op resistentie hebben de preventieve toepassingen de voorkeur boven de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curatieve toepassingen.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Onnodige blootstelling van niet-doelwit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arthropoden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dient voorkomen te worden bij de toepassing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in de teelt van chrysanten (geïntegreerde teelt), potplanten en containerteelt van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boomkwekerijgewassen.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b/>
          <w:bCs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b/>
          <w:bCs/>
          <w:snapToGrid/>
          <w:sz w:val="20"/>
          <w:szCs w:val="20"/>
        </w:rPr>
      </w:pPr>
      <w:r w:rsidRPr="00AF4A28">
        <w:rPr>
          <w:rFonts w:ascii="Tahoma" w:hAnsi="Tahoma" w:cs="Tahoma"/>
          <w:b/>
          <w:bCs/>
          <w:snapToGrid/>
          <w:sz w:val="20"/>
          <w:szCs w:val="20"/>
        </w:rPr>
        <w:t>Toepassingen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Bloembollenteelt van krokus, hyacint en iris,</w:t>
      </w:r>
      <w:r w:rsidRPr="00AF4A28">
        <w:rPr>
          <w:rFonts w:ascii="Tahoma" w:hAnsi="Tahoma" w:cs="Tahoma"/>
          <w:snapToGrid/>
          <w:sz w:val="20"/>
          <w:szCs w:val="20"/>
        </w:rPr>
        <w:t xml:space="preserve"> ter bestrijding van wortelrot (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Pythium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>).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Bij het planten een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veurbehandeling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uitvoeren.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>
        <w:rPr>
          <w:rFonts w:ascii="Tahoma" w:hAnsi="Tahoma" w:cs="Tahoma"/>
          <w:snapToGrid/>
          <w:sz w:val="20"/>
          <w:szCs w:val="20"/>
        </w:rPr>
        <w:t>: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 xml:space="preserve">krokus </w:t>
      </w:r>
      <w:r>
        <w:rPr>
          <w:rFonts w:ascii="Tahoma" w:hAnsi="Tahoma" w:cs="Tahoma"/>
          <w:snapToGrid/>
          <w:sz w:val="20"/>
          <w:szCs w:val="20"/>
        </w:rPr>
        <w:tab/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>: 0,75 l/ha.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hyacint, iris 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>: 1 l/ha.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Als een zeer zware 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Pythium-</w:t>
      </w:r>
      <w:r w:rsidRPr="00AF4A28">
        <w:rPr>
          <w:rFonts w:ascii="Tahoma" w:hAnsi="Tahoma" w:cs="Tahoma"/>
          <w:snapToGrid/>
          <w:sz w:val="20"/>
          <w:szCs w:val="20"/>
        </w:rPr>
        <w:t>aantasting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wordt verwacht, dienen de vermelde doseringen met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smartTag w:uri="urn:schemas-microsoft-com:office:smarttags" w:element="metricconverter">
        <w:smartTagPr>
          <w:attr w:name="ProductID" w:val="0,25 liter"/>
        </w:smartTagPr>
        <w:r w:rsidRPr="00AF4A28">
          <w:rPr>
            <w:rFonts w:ascii="Tahoma" w:hAnsi="Tahoma" w:cs="Tahoma"/>
            <w:snapToGrid/>
            <w:sz w:val="20"/>
            <w:szCs w:val="20"/>
          </w:rPr>
          <w:t>0,25 liter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per ha te worden verhoogd.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Bolbloementeelt van tulp, iris en lelie</w:t>
      </w:r>
      <w:r w:rsidRPr="00AF4A28">
        <w:rPr>
          <w:rFonts w:ascii="Tahoma" w:hAnsi="Tahoma" w:cs="Tahoma"/>
          <w:snapToGrid/>
          <w:sz w:val="20"/>
          <w:szCs w:val="20"/>
        </w:rPr>
        <w:t xml:space="preserve"> ter bestrijding van wortelrot (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Pythium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>).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Potgrondbehandeling bij kistenteelt.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>: 2,5 ml per m3 potgrond.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F9665E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  <w:u w:val="single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Bloemisterijgewassen onder glas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Anjer</w:t>
      </w:r>
      <w:r w:rsidRPr="00AF4A28">
        <w:rPr>
          <w:rFonts w:ascii="Tahoma" w:hAnsi="Tahoma" w:cs="Tahoma"/>
          <w:snapToGrid/>
          <w:sz w:val="20"/>
          <w:szCs w:val="20"/>
        </w:rPr>
        <w:t>, ter bestrijding van wortelrot (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Phytophthora</w:t>
      </w:r>
      <w:proofErr w:type="spellEnd"/>
      <w:r w:rsidRPr="00AF4A28">
        <w:rPr>
          <w:rFonts w:ascii="Tahoma" w:hAnsi="Tahoma" w:cs="Tahoma"/>
          <w:i/>
          <w:iCs/>
          <w:snapToGrid/>
          <w:sz w:val="20"/>
          <w:szCs w:val="20"/>
        </w:rPr>
        <w:t xml:space="preserve">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spp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>.)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In de teelt van anjer kan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 worden toegepast door het middel met behulp van de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concentratiemeter en regenleiding bij de wortels te brengen. Toepassen zodra de eerste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aantasting zichtbaar wordt. Na de toepassing dient gedurende 15 minuten nageregend te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worden.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 xml:space="preserve">: 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 xml:space="preserve">18,75 ml per </w:t>
      </w:r>
      <w:smartTag w:uri="urn:schemas-microsoft-com:office:smarttags" w:element="metricconverter">
        <w:smartTagPr>
          <w:attr w:name="ProductID" w:val="100 m2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100 m2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Zo nodig de behandeling na 3 weken herhalen met 0,09375 ml per m2.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Chrysant</w:t>
      </w:r>
      <w:r w:rsidRPr="00AF4A28">
        <w:rPr>
          <w:rFonts w:ascii="Tahoma" w:hAnsi="Tahoma" w:cs="Tahoma"/>
          <w:snapToGrid/>
          <w:sz w:val="20"/>
          <w:szCs w:val="20"/>
        </w:rPr>
        <w:t>, ter bestrijding van wortelrot (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Pythium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>)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In de teelt van chrysanten, met name geplozen chrysanten, kan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 zowel preventief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als curatief worden toegepast ter bestrijding van wortelrot veroorzaakt door 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Pythium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>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  <w:r>
        <w:rPr>
          <w:rFonts w:ascii="Tahoma" w:hAnsi="Tahoma" w:cs="Tahoma"/>
          <w:i/>
          <w:iCs/>
          <w:snapToGrid/>
          <w:sz w:val="20"/>
          <w:szCs w:val="20"/>
        </w:rPr>
        <w:br w:type="page"/>
      </w:r>
      <w:r w:rsidRPr="00AF4A28">
        <w:rPr>
          <w:rFonts w:ascii="Tahoma" w:hAnsi="Tahoma" w:cs="Tahoma"/>
          <w:i/>
          <w:iCs/>
          <w:snapToGrid/>
          <w:sz w:val="20"/>
          <w:szCs w:val="20"/>
        </w:rPr>
        <w:lastRenderedPageBreak/>
        <w:t>Preventieve toepassing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 kort voor het planten over de grond spuiten en </w:t>
      </w:r>
      <w:smartTag w:uri="urn:schemas-microsoft-com:office:smarttags" w:element="metricconverter">
        <w:smartTagPr>
          <w:attr w:name="ProductID" w:val="10 cm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 cm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inwerken bv. met een frees.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 xml:space="preserve">: 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 xml:space="preserve">18,75 ml per </w:t>
      </w:r>
      <w:smartTag w:uri="urn:schemas-microsoft-com:office:smarttags" w:element="metricconverter">
        <w:smartTagPr>
          <w:attr w:name="ProductID" w:val="100 m2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100 m2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te verspuiten in 6 tot </w:t>
      </w:r>
      <w:smartTag w:uri="urn:schemas-microsoft-com:office:smarttags" w:element="metricconverter">
        <w:smartTagPr>
          <w:attr w:name="ProductID" w:val="10 liter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 liter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water.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  <w:r w:rsidRPr="00AF4A28">
        <w:rPr>
          <w:rFonts w:ascii="Tahoma" w:hAnsi="Tahoma" w:cs="Tahoma"/>
          <w:i/>
          <w:iCs/>
          <w:snapToGrid/>
          <w:sz w:val="20"/>
          <w:szCs w:val="20"/>
        </w:rPr>
        <w:t>Curatieve toepassing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 via de regenleiding over het gewas spuiten. Na de toepassing dient gedurende 15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minuten nageregend te worden zodat het middel bij de wortels komt.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 xml:space="preserve">: 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 xml:space="preserve">4- 6,25 ml per </w:t>
      </w:r>
      <w:smartTag w:uri="urn:schemas-microsoft-com:office:smarttags" w:element="metricconverter">
        <w:smartTagPr>
          <w:attr w:name="ProductID" w:val="100 m2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100 m2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toe te passen in minimaal </w:t>
      </w:r>
      <w:smartTag w:uri="urn:schemas-microsoft-com:office:smarttags" w:element="metricconverter">
        <w:smartTagPr>
          <w:attr w:name="ProductID" w:val="30 liter"/>
        </w:smartTagPr>
        <w:r w:rsidRPr="00AF4A28">
          <w:rPr>
            <w:rFonts w:ascii="Tahoma" w:hAnsi="Tahoma" w:cs="Tahoma"/>
            <w:snapToGrid/>
            <w:sz w:val="20"/>
            <w:szCs w:val="20"/>
          </w:rPr>
          <w:t>30 liter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water per </w:t>
      </w:r>
      <w:smartTag w:uri="urn:schemas-microsoft-com:office:smarttags" w:element="metricconverter">
        <w:smartTagPr>
          <w:attr w:name="ProductID" w:val="100 m2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100 m2</w:t>
        </w:r>
      </w:smartTag>
      <w:r w:rsidRPr="00AF4A28">
        <w:rPr>
          <w:rFonts w:ascii="Tahoma" w:hAnsi="Tahoma" w:cs="Tahoma"/>
          <w:snapToGrid/>
          <w:sz w:val="20"/>
          <w:szCs w:val="20"/>
        </w:rPr>
        <w:t>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Zo nodig de bespuiting na 2 tot 3 weken herhalen.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Gerbera op kunstmatig substraat</w:t>
      </w:r>
      <w:r w:rsidRPr="00AF4A28">
        <w:rPr>
          <w:rFonts w:ascii="Tahoma" w:hAnsi="Tahoma" w:cs="Tahoma"/>
          <w:snapToGrid/>
          <w:sz w:val="20"/>
          <w:szCs w:val="20"/>
        </w:rPr>
        <w:t>: ter bestrijding van voetrot (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Phytophthora</w:t>
      </w:r>
      <w:proofErr w:type="spellEnd"/>
      <w:r w:rsidRPr="00AF4A28">
        <w:rPr>
          <w:rFonts w:ascii="Tahoma" w:hAnsi="Tahoma" w:cs="Tahoma"/>
          <w:i/>
          <w:iCs/>
          <w:snapToGrid/>
          <w:sz w:val="20"/>
          <w:szCs w:val="20"/>
        </w:rPr>
        <w:t xml:space="preserve"> 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cryptogea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>)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 kan zowel preventief als curatief worden toegepast. Zodra de eerste symptomen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zichtbaar worden aangieten.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 xml:space="preserve">: 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>125 ml per ha toepassen via het druppel irrigatiesysteem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De behandeling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zonodig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herhalen.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Potplanten</w:t>
      </w:r>
      <w:r w:rsidRPr="00AF4A28">
        <w:rPr>
          <w:rFonts w:ascii="Tahoma" w:hAnsi="Tahoma" w:cs="Tahoma"/>
          <w:snapToGrid/>
          <w:sz w:val="20"/>
          <w:szCs w:val="20"/>
        </w:rPr>
        <w:t xml:space="preserve">, ter bestrijding van rot veroorzaakt door 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Pythium</w:t>
      </w:r>
      <w:proofErr w:type="spellEnd"/>
      <w:r w:rsidRPr="00AF4A28">
        <w:rPr>
          <w:rFonts w:ascii="Tahoma" w:hAnsi="Tahoma" w:cs="Tahoma"/>
          <w:i/>
          <w:iCs/>
          <w:snapToGrid/>
          <w:sz w:val="20"/>
          <w:szCs w:val="20"/>
        </w:rPr>
        <w:t xml:space="preserve"> </w:t>
      </w:r>
      <w:r w:rsidRPr="00AF4A28">
        <w:rPr>
          <w:rFonts w:ascii="Tahoma" w:hAnsi="Tahoma" w:cs="Tahoma"/>
          <w:snapToGrid/>
          <w:sz w:val="20"/>
          <w:szCs w:val="20"/>
        </w:rPr>
        <w:t xml:space="preserve">en 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Phytophthora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>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  <w:r w:rsidRPr="00AF4A28">
        <w:rPr>
          <w:rFonts w:ascii="Tahoma" w:hAnsi="Tahoma" w:cs="Tahoma"/>
          <w:i/>
          <w:iCs/>
          <w:snapToGrid/>
          <w:sz w:val="20"/>
          <w:szCs w:val="20"/>
        </w:rPr>
        <w:t>Potgrondbehandeling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De benodigde hoeveelheid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 wordt, kort voor het gebruik van de grond, over de te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behandelen grond gespoten en zo gelijkmatig mogelijk door de grond gemengd.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 xml:space="preserve">: 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>12,5-18,75 ml per m3 potgrond, te verspuiten in 5-</w:t>
      </w:r>
      <w:smartTag w:uri="urn:schemas-microsoft-com:office:smarttags" w:element="metricconverter">
        <w:smartTagPr>
          <w:attr w:name="ProductID" w:val="10 liter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 liter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water.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De dosering is afhankelijk van het gehalte aan organische stof in de potgrond.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  <w:r w:rsidRPr="00AF4A28">
        <w:rPr>
          <w:rFonts w:ascii="Tahoma" w:hAnsi="Tahoma" w:cs="Tahoma"/>
          <w:i/>
          <w:iCs/>
          <w:snapToGrid/>
          <w:sz w:val="20"/>
          <w:szCs w:val="20"/>
        </w:rPr>
        <w:t>Gietbehandeling na stekken, verspenen of oppotten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De toepassing kan preventief of curatief worden uitgevoerd. Het middel bij voorkeur gieten op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vochtige grond. Na toepassen direct inregenen, zodat het middel in de wortelzone kan dringen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en op het blad achtergebleven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 wordt afgespoeld.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  <w:r w:rsidRPr="00AF4A28">
        <w:rPr>
          <w:rFonts w:ascii="Tahoma" w:hAnsi="Tahoma" w:cs="Tahoma"/>
          <w:i/>
          <w:iCs/>
          <w:snapToGrid/>
          <w:sz w:val="20"/>
          <w:szCs w:val="20"/>
        </w:rPr>
        <w:t>Preventieve toepassing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 xml:space="preserve">: 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 xml:space="preserve">6,25 – 9,375 ml in </w:t>
      </w:r>
      <w:smartTag w:uri="urn:schemas-microsoft-com:office:smarttags" w:element="metricconverter">
        <w:smartTagPr>
          <w:attr w:name="ProductID" w:val="100 liter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100 liter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water.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Van deze oplossing een hoeveelheid per plant op de pot gieten, die overeenkomt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met 10% van het potvolume. Bij gewassen die gevoelig zijn voor rot de hoogste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dosering aanhouden.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  <w:r w:rsidRPr="00AF4A28">
        <w:rPr>
          <w:rFonts w:ascii="Tahoma" w:hAnsi="Tahoma" w:cs="Tahoma"/>
          <w:i/>
          <w:iCs/>
          <w:snapToGrid/>
          <w:sz w:val="20"/>
          <w:szCs w:val="20"/>
        </w:rPr>
        <w:t>Curatieve toepassing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 xml:space="preserve">: 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 xml:space="preserve">9,375- 12,5 ml in </w:t>
      </w:r>
      <w:smartTag w:uri="urn:schemas-microsoft-com:office:smarttags" w:element="metricconverter">
        <w:smartTagPr>
          <w:attr w:name="ProductID" w:val="100 liter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100 liter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water.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Van deze oplossing een hoeveelheid per plant op de pot gieten, die overeenkomt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met 10% van het potvolume. Bij een zware aantasting de hoogste dosering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aanhouden.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i/>
          <w:iCs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Containerteelt van boomkwekerijgewassen</w:t>
      </w:r>
      <w:r w:rsidRPr="00AF4A28">
        <w:rPr>
          <w:rFonts w:ascii="Tahoma" w:hAnsi="Tahoma" w:cs="Tahoma"/>
          <w:snapToGrid/>
          <w:sz w:val="20"/>
          <w:szCs w:val="20"/>
        </w:rPr>
        <w:t>, ter bestrijding van wortelrot (</w:t>
      </w: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Phytophthora</w:t>
      </w:r>
      <w:proofErr w:type="spellEnd"/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proofErr w:type="spellStart"/>
      <w:r w:rsidRPr="00AF4A28">
        <w:rPr>
          <w:rFonts w:ascii="Tahoma" w:hAnsi="Tahoma" w:cs="Tahoma"/>
          <w:i/>
          <w:iCs/>
          <w:snapToGrid/>
          <w:sz w:val="20"/>
          <w:szCs w:val="20"/>
        </w:rPr>
        <w:t>cinnamomi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>)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 xml:space="preserve">Voor het oppotten van het plantmateriaal de potgrond behandelen met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>: 12,5 ml per m3 potgrond.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proofErr w:type="spellStart"/>
      <w:r w:rsidRPr="00AF4A28">
        <w:rPr>
          <w:rFonts w:ascii="Tahoma" w:hAnsi="Tahoma" w:cs="Tahoma"/>
          <w:snapToGrid/>
          <w:sz w:val="20"/>
          <w:szCs w:val="20"/>
        </w:rPr>
        <w:t>Zonodig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kan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Ridomil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Gold tijdens de teelt aangegoten worden om het gewas vrij van aantasting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te houden.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De potgrond dient vochtig te zijn op het moment van toepassen. Uitspoeling naar de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ondergrond dient voorkomen te worden door de containers te plaatsen op aaneengesloten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waterdicht folie of door het opvangen van uitstromend water.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F9665E">
        <w:rPr>
          <w:rFonts w:ascii="Tahoma" w:hAnsi="Tahoma" w:cs="Tahoma"/>
          <w:snapToGrid/>
          <w:sz w:val="20"/>
          <w:szCs w:val="20"/>
          <w:u w:val="single"/>
        </w:rPr>
        <w:t>Dosering</w:t>
      </w:r>
      <w:r w:rsidRPr="00AF4A28">
        <w:rPr>
          <w:rFonts w:ascii="Tahoma" w:hAnsi="Tahoma" w:cs="Tahoma"/>
          <w:snapToGrid/>
          <w:sz w:val="20"/>
          <w:szCs w:val="20"/>
        </w:rPr>
        <w:t xml:space="preserve">: </w:t>
      </w:r>
      <w:r>
        <w:rPr>
          <w:rFonts w:ascii="Tahoma" w:hAnsi="Tahoma" w:cs="Tahoma"/>
          <w:snapToGrid/>
          <w:sz w:val="20"/>
          <w:szCs w:val="20"/>
        </w:rPr>
        <w:tab/>
      </w:r>
      <w:r w:rsidRPr="00AF4A28">
        <w:rPr>
          <w:rFonts w:ascii="Tahoma" w:hAnsi="Tahoma" w:cs="Tahoma"/>
          <w:snapToGrid/>
          <w:sz w:val="20"/>
          <w:szCs w:val="20"/>
        </w:rPr>
        <w:t xml:space="preserve">0,00625% ( 6,25 ml per </w:t>
      </w:r>
      <w:smartTag w:uri="urn:schemas-microsoft-com:office:smarttags" w:element="metricconverter">
        <w:smartTagPr>
          <w:attr w:name="ProductID" w:val="100 liter"/>
        </w:smartTagPr>
        <w:r w:rsidRPr="00AF4A28">
          <w:rPr>
            <w:rFonts w:ascii="Tahoma" w:hAnsi="Tahoma" w:cs="Tahoma"/>
            <w:snapToGrid/>
            <w:sz w:val="20"/>
            <w:szCs w:val="20"/>
          </w:rPr>
          <w:t>100 liter</w:t>
        </w:r>
      </w:smartTag>
      <w:r w:rsidRPr="00AF4A28">
        <w:rPr>
          <w:rFonts w:ascii="Tahoma" w:hAnsi="Tahoma" w:cs="Tahoma"/>
          <w:snapToGrid/>
          <w:sz w:val="20"/>
          <w:szCs w:val="20"/>
        </w:rPr>
        <w:t xml:space="preserve"> water).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ind w:left="708" w:firstLine="708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Per liter potgrond 100 ml oplossing gebruiken.</w:t>
      </w:r>
    </w:p>
    <w:p w:rsidR="00015A37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Waarschuwing.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Als nog geen ervaring is opgedaan met het middel, dient een proefbespuiting uitgevoerd te</w:t>
      </w:r>
    </w:p>
    <w:p w:rsidR="00015A37" w:rsidRPr="00AF4A28" w:rsidRDefault="00015A37" w:rsidP="00015A37">
      <w:pPr>
        <w:widowControl/>
        <w:autoSpaceDE w:val="0"/>
        <w:autoSpaceDN w:val="0"/>
        <w:adjustRightInd w:val="0"/>
        <w:rPr>
          <w:rFonts w:ascii="Tahoma" w:hAnsi="Tahoma" w:cs="Tahoma"/>
          <w:snapToGrid/>
          <w:sz w:val="20"/>
          <w:szCs w:val="20"/>
        </w:rPr>
      </w:pPr>
      <w:r w:rsidRPr="00AF4A28">
        <w:rPr>
          <w:rFonts w:ascii="Tahoma" w:hAnsi="Tahoma" w:cs="Tahoma"/>
          <w:snapToGrid/>
          <w:sz w:val="20"/>
          <w:szCs w:val="20"/>
        </w:rPr>
        <w:t>worden, om de gewasverdraagzaamheid van het middel te testen.</w:t>
      </w:r>
    </w:p>
    <w:p w:rsidR="00886C04" w:rsidRDefault="00015A37" w:rsidP="00015A37">
      <w:r w:rsidRPr="00AF4A28">
        <w:rPr>
          <w:rFonts w:ascii="Tahoma" w:hAnsi="Tahoma" w:cs="Tahoma"/>
          <w:snapToGrid/>
          <w:sz w:val="20"/>
          <w:szCs w:val="20"/>
        </w:rPr>
        <w:t xml:space="preserve">De toepassing in </w:t>
      </w:r>
      <w:proofErr w:type="spellStart"/>
      <w:r w:rsidRPr="00AF4A28">
        <w:rPr>
          <w:rFonts w:ascii="Tahoma" w:hAnsi="Tahoma" w:cs="Tahoma"/>
          <w:snapToGrid/>
          <w:sz w:val="20"/>
          <w:szCs w:val="20"/>
        </w:rPr>
        <w:t>Viburnum</w:t>
      </w:r>
      <w:proofErr w:type="spellEnd"/>
      <w:r w:rsidRPr="00AF4A28">
        <w:rPr>
          <w:rFonts w:ascii="Tahoma" w:hAnsi="Tahoma" w:cs="Tahoma"/>
          <w:snapToGrid/>
          <w:sz w:val="20"/>
          <w:szCs w:val="20"/>
        </w:rPr>
        <w:t xml:space="preserve"> en Prunussoorten wordt ontraden.</w:t>
      </w:r>
    </w:p>
    <w:sectPr w:rsidR="00886C04" w:rsidSect="00385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015A37"/>
    <w:rsid w:val="00015A37"/>
    <w:rsid w:val="000406CB"/>
    <w:rsid w:val="0007123E"/>
    <w:rsid w:val="000B7CA5"/>
    <w:rsid w:val="000D577D"/>
    <w:rsid w:val="000D6710"/>
    <w:rsid w:val="000F40AA"/>
    <w:rsid w:val="00116E23"/>
    <w:rsid w:val="00133D01"/>
    <w:rsid w:val="00146CA0"/>
    <w:rsid w:val="00151A7D"/>
    <w:rsid w:val="00164146"/>
    <w:rsid w:val="00182112"/>
    <w:rsid w:val="001D0AF3"/>
    <w:rsid w:val="00206F0D"/>
    <w:rsid w:val="002C14B1"/>
    <w:rsid w:val="002D6A4B"/>
    <w:rsid w:val="00316F61"/>
    <w:rsid w:val="00347C96"/>
    <w:rsid w:val="003570A0"/>
    <w:rsid w:val="0038568D"/>
    <w:rsid w:val="003B57D1"/>
    <w:rsid w:val="003C1DCC"/>
    <w:rsid w:val="003D1D3C"/>
    <w:rsid w:val="003D35AD"/>
    <w:rsid w:val="003F7B6F"/>
    <w:rsid w:val="004B0DBB"/>
    <w:rsid w:val="005115C7"/>
    <w:rsid w:val="00520169"/>
    <w:rsid w:val="00545342"/>
    <w:rsid w:val="00564826"/>
    <w:rsid w:val="00596A7B"/>
    <w:rsid w:val="005C654C"/>
    <w:rsid w:val="00630DC6"/>
    <w:rsid w:val="00645F43"/>
    <w:rsid w:val="006C54DE"/>
    <w:rsid w:val="006F657C"/>
    <w:rsid w:val="008211C9"/>
    <w:rsid w:val="00886C04"/>
    <w:rsid w:val="00954B41"/>
    <w:rsid w:val="009D023A"/>
    <w:rsid w:val="00A43ED8"/>
    <w:rsid w:val="00A575B5"/>
    <w:rsid w:val="00A605E1"/>
    <w:rsid w:val="00AB1107"/>
    <w:rsid w:val="00AF50AD"/>
    <w:rsid w:val="00B47B9B"/>
    <w:rsid w:val="00BA2267"/>
    <w:rsid w:val="00BD2718"/>
    <w:rsid w:val="00BD69D0"/>
    <w:rsid w:val="00BE5028"/>
    <w:rsid w:val="00C00328"/>
    <w:rsid w:val="00DC03F1"/>
    <w:rsid w:val="00E5230D"/>
    <w:rsid w:val="00EE6FA1"/>
    <w:rsid w:val="00F22C66"/>
    <w:rsid w:val="00F87353"/>
    <w:rsid w:val="00FB2F51"/>
    <w:rsid w:val="00FC3DE7"/>
    <w:rsid w:val="00FF0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15A37"/>
    <w:pPr>
      <w:widowControl w:val="0"/>
    </w:pPr>
    <w:rPr>
      <w:rFonts w:ascii="Courier" w:hAnsi="Courier"/>
      <w:snapToGrid w:val="0"/>
      <w:sz w:val="24"/>
      <w:szCs w:val="24"/>
    </w:rPr>
  </w:style>
  <w:style w:type="paragraph" w:styleId="Kop1">
    <w:name w:val="heading 1"/>
    <w:basedOn w:val="Standaard"/>
    <w:next w:val="Standaard"/>
    <w:uiPriority w:val="9"/>
    <w:qFormat/>
    <w:rsid w:val="00206F0D"/>
    <w:pPr>
      <w:keepNext/>
      <w:widowControl/>
      <w:spacing w:before="240" w:after="60"/>
      <w:outlineLvl w:val="0"/>
    </w:pPr>
    <w:rPr>
      <w:rFonts w:asciiTheme="majorHAnsi" w:eastAsiaTheme="majorEastAsia" w:hAnsiTheme="majorHAnsi" w:cstheme="majorBidi"/>
      <w:b/>
      <w:bCs/>
      <w:snapToGrid/>
      <w:kern w:val="3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maakprofiel1">
    <w:name w:val="Opmaakprofiel1"/>
    <w:basedOn w:val="Kop1"/>
    <w:rsid w:val="00886C04"/>
    <w:rPr>
      <w:rFonts w:ascii="Tahoma" w:hAnsi="Tahoma"/>
    </w:rPr>
  </w:style>
  <w:style w:type="character" w:styleId="Subtielebenadrukking">
    <w:name w:val="Subtle Emphasis"/>
    <w:uiPriority w:val="19"/>
    <w:qFormat/>
    <w:rsid w:val="00206F0D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781</Words>
  <Characters>4301</Characters>
  <Application>Microsoft Office Word</Application>
  <DocSecurity>0</DocSecurity>
  <Lines>35</Lines>
  <Paragraphs>10</Paragraphs>
  <ScaleCrop>false</ScaleCrop>
  <Company/>
  <LinksUpToDate>false</LinksUpToDate>
  <CharactersWithSpaces>5072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nugter</dc:creator>
  <cp:lastModifiedBy>nugter</cp:lastModifiedBy>
  <cp:revision>1</cp:revision>
  <dcterms:created xsi:type="dcterms:W3CDTF">2010-01-06T13:20:00Z</dcterms:created>
  <dcterms:modified xsi:type="dcterms:W3CDTF">2010-01-06T13:21:00Z</dcterms:modified>
</cp:coreProperties>
</file>