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54A092" w14:textId="77777777" w:rsidR="000E702E" w:rsidRDefault="00000000">
      <w:pPr>
        <w:spacing w:after="180"/>
        <w:rPr>
          <w:b/>
          <w:bCs/>
          <w:sz w:val="44"/>
          <w:szCs w:val="44"/>
        </w:rPr>
      </w:pPr>
      <w:r>
        <w:rPr>
          <w:b/>
          <w:bCs/>
          <w:sz w:val="44"/>
          <w:szCs w:val="44"/>
        </w:rPr>
        <w:t>The other 98%</w:t>
      </w:r>
    </w:p>
    <w:p w14:paraId="45D28248" w14:textId="2A5A0DEB" w:rsidR="000E702E" w:rsidRDefault="00F07FAE" w:rsidP="00F07FAE">
      <w:pPr>
        <w:spacing w:after="180"/>
        <w:rPr>
          <w:highlight w:val="yellow"/>
        </w:rPr>
      </w:pPr>
      <w:r>
        <w:rPr>
          <w:noProof/>
        </w:rPr>
        <w:drawing>
          <wp:inline distT="0" distB="0" distL="0" distR="0" wp14:anchorId="5BD4C676" wp14:editId="0CCE91C2">
            <wp:extent cx="2438400" cy="2438400"/>
            <wp:effectExtent l="0" t="0" r="0" b="0"/>
            <wp:docPr id="2089459759" name="Afbeelding 11" descr="Afbeelding met tekst, grafische vormgeving, Graphics, zwart-wi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459759" name="Afbeelding 11" descr="Afbeelding met tekst, grafische vormgeving, Graphics, zwart-wit&#10;&#10;Door AI gegenereerde inhoud is mogelijk onjuis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38679" cy="2438679"/>
                    </a:xfrm>
                    <a:prstGeom prst="rect">
                      <a:avLst/>
                    </a:prstGeom>
                  </pic:spPr>
                </pic:pic>
              </a:graphicData>
            </a:graphic>
          </wp:inline>
        </w:drawing>
      </w:r>
    </w:p>
    <w:p w14:paraId="37DCD874" w14:textId="77777777" w:rsidR="000E702E" w:rsidRDefault="000E702E">
      <w:pPr>
        <w:rPr>
          <w:highlight w:val="yellow"/>
        </w:rPr>
      </w:pPr>
    </w:p>
    <w:p w14:paraId="2E689AE1" w14:textId="77777777" w:rsidR="000E702E" w:rsidRDefault="00000000">
      <w:pPr>
        <w:spacing w:after="180"/>
      </w:pPr>
      <w:r>
        <w:t>Genes are regions of DNA in your genome.</w:t>
      </w:r>
    </w:p>
    <w:p w14:paraId="7E0A812D" w14:textId="77777777" w:rsidR="000E702E" w:rsidRDefault="00000000">
      <w:pPr>
        <w:spacing w:after="180"/>
      </w:pPr>
      <w:r>
        <w:t>Scientists estimate that genes are only about 2% of your genome.</w:t>
      </w:r>
    </w:p>
    <w:p w14:paraId="740A9A93" w14:textId="77777777" w:rsidR="000E702E" w:rsidRDefault="000E702E">
      <w:pPr>
        <w:spacing w:after="180"/>
      </w:pPr>
    </w:p>
    <w:p w14:paraId="55D8E3B9" w14:textId="77777777" w:rsidR="000E702E" w:rsidRDefault="00000000">
      <w:pPr>
        <w:spacing w:after="180"/>
      </w:pPr>
      <w:r>
        <w:t xml:space="preserve">The table contains statements about the other 98% of your genome. </w:t>
      </w:r>
    </w:p>
    <w:p w14:paraId="7CA526D1" w14:textId="77777777" w:rsidR="000E702E" w:rsidRDefault="00000000">
      <w:pPr>
        <w:spacing w:after="180"/>
      </w:pPr>
      <w:r>
        <w:t xml:space="preserve">Some of the statements are </w:t>
      </w:r>
      <w:r>
        <w:rPr>
          <w:b/>
          <w:bCs/>
        </w:rPr>
        <w:t>right</w:t>
      </w:r>
      <w:r>
        <w:t xml:space="preserve"> and some are </w:t>
      </w:r>
      <w:r>
        <w:rPr>
          <w:b/>
          <w:bCs/>
        </w:rPr>
        <w:t>wrong</w:t>
      </w:r>
      <w:r>
        <w:t>.</w:t>
      </w:r>
    </w:p>
    <w:p w14:paraId="66CF0E5E" w14:textId="77777777" w:rsidR="000E702E" w:rsidRDefault="00000000">
      <w:pPr>
        <w:spacing w:after="120"/>
      </w:pPr>
      <w:r>
        <w:t xml:space="preserve">Tick </w:t>
      </w:r>
      <w:r>
        <w:rPr>
          <w:b/>
          <w:bCs/>
        </w:rPr>
        <w:t>one</w:t>
      </w:r>
      <w:r>
        <w:t xml:space="preserve"> box for each statement.</w:t>
      </w:r>
    </w:p>
    <w:p w14:paraId="30672276" w14:textId="77777777" w:rsidR="000E702E" w:rsidRDefault="000E702E"/>
    <w:tbl>
      <w:tblPr>
        <w:tblStyle w:val="a"/>
        <w:tblW w:w="9042"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
        <w:gridCol w:w="4223"/>
        <w:gridCol w:w="1098"/>
        <w:gridCol w:w="1099"/>
        <w:gridCol w:w="1098"/>
        <w:gridCol w:w="1099"/>
      </w:tblGrid>
      <w:tr w:rsidR="000E702E" w14:paraId="7794029B" w14:textId="77777777">
        <w:tc>
          <w:tcPr>
            <w:tcW w:w="4649" w:type="dxa"/>
            <w:gridSpan w:val="2"/>
            <w:vAlign w:val="center"/>
          </w:tcPr>
          <w:p w14:paraId="7FA1DB6F" w14:textId="77777777" w:rsidR="000E702E" w:rsidRDefault="00000000">
            <w:pPr>
              <w:spacing w:before="60" w:after="60"/>
            </w:pPr>
            <w:r>
              <w:rPr>
                <w:b/>
                <w:bCs/>
              </w:rPr>
              <w:t>Statements</w:t>
            </w:r>
          </w:p>
        </w:tc>
        <w:tc>
          <w:tcPr>
            <w:tcW w:w="1098" w:type="dxa"/>
            <w:vAlign w:val="center"/>
          </w:tcPr>
          <w:p w14:paraId="7F6C37F8" w14:textId="77777777" w:rsidR="000E702E" w:rsidRDefault="00000000">
            <w:pPr>
              <w:spacing w:before="60" w:after="60"/>
              <w:jc w:val="center"/>
            </w:pPr>
            <w:r>
              <w:t xml:space="preserve">I am </w:t>
            </w:r>
            <w:r>
              <w:rPr>
                <w:b/>
                <w:bCs/>
              </w:rPr>
              <w:t>sure</w:t>
            </w:r>
            <w:r>
              <w:t xml:space="preserve"> this is right</w:t>
            </w:r>
          </w:p>
        </w:tc>
        <w:tc>
          <w:tcPr>
            <w:tcW w:w="1099" w:type="dxa"/>
            <w:vAlign w:val="center"/>
          </w:tcPr>
          <w:p w14:paraId="75AC0EAA" w14:textId="77777777" w:rsidR="000E702E" w:rsidRDefault="00000000">
            <w:pPr>
              <w:spacing w:before="60" w:after="60"/>
              <w:jc w:val="center"/>
            </w:pPr>
            <w:r>
              <w:t xml:space="preserve">I </w:t>
            </w:r>
            <w:r>
              <w:rPr>
                <w:b/>
                <w:bCs/>
              </w:rPr>
              <w:t>think</w:t>
            </w:r>
            <w:r>
              <w:t xml:space="preserve"> this is right</w:t>
            </w:r>
          </w:p>
        </w:tc>
        <w:tc>
          <w:tcPr>
            <w:tcW w:w="1098" w:type="dxa"/>
            <w:vAlign w:val="center"/>
          </w:tcPr>
          <w:p w14:paraId="64BB8D69" w14:textId="77777777" w:rsidR="000E702E" w:rsidRDefault="00000000">
            <w:pPr>
              <w:spacing w:before="60" w:after="60"/>
              <w:jc w:val="center"/>
            </w:pPr>
            <w:r>
              <w:t xml:space="preserve">I </w:t>
            </w:r>
            <w:r>
              <w:rPr>
                <w:b/>
                <w:bCs/>
              </w:rPr>
              <w:t>think</w:t>
            </w:r>
            <w:r>
              <w:t xml:space="preserve"> this is wrong</w:t>
            </w:r>
          </w:p>
        </w:tc>
        <w:tc>
          <w:tcPr>
            <w:tcW w:w="1099" w:type="dxa"/>
            <w:vAlign w:val="center"/>
          </w:tcPr>
          <w:p w14:paraId="0A2CE684" w14:textId="77777777" w:rsidR="000E702E" w:rsidRDefault="00000000">
            <w:pPr>
              <w:spacing w:before="60" w:after="60"/>
              <w:jc w:val="center"/>
            </w:pPr>
            <w:r>
              <w:t xml:space="preserve">I am </w:t>
            </w:r>
            <w:r>
              <w:rPr>
                <w:b/>
                <w:bCs/>
              </w:rPr>
              <w:t>sure</w:t>
            </w:r>
            <w:r>
              <w:t xml:space="preserve"> this is wrong</w:t>
            </w:r>
          </w:p>
        </w:tc>
      </w:tr>
      <w:tr w:rsidR="000E702E" w14:paraId="487292E3" w14:textId="77777777">
        <w:trPr>
          <w:trHeight w:val="907"/>
        </w:trPr>
        <w:tc>
          <w:tcPr>
            <w:tcW w:w="425" w:type="dxa"/>
            <w:vAlign w:val="center"/>
          </w:tcPr>
          <w:p w14:paraId="0434FE68" w14:textId="77777777" w:rsidR="000E702E" w:rsidRDefault="00000000">
            <w:pPr>
              <w:spacing w:before="60" w:after="60"/>
              <w:jc w:val="center"/>
              <w:rPr>
                <w:b/>
                <w:bCs/>
              </w:rPr>
            </w:pPr>
            <w:r>
              <w:rPr>
                <w:b/>
                <w:bCs/>
              </w:rPr>
              <w:t>1</w:t>
            </w:r>
          </w:p>
        </w:tc>
        <w:tc>
          <w:tcPr>
            <w:tcW w:w="4224" w:type="dxa"/>
            <w:vAlign w:val="center"/>
          </w:tcPr>
          <w:p w14:paraId="00108645" w14:textId="77777777" w:rsidR="000E702E" w:rsidRDefault="00000000">
            <w:pPr>
              <w:spacing w:before="60" w:after="60"/>
            </w:pPr>
            <w:r>
              <w:t>Cells use the information coded in the other 98% as instructions to make proteins.</w:t>
            </w:r>
          </w:p>
        </w:tc>
        <w:tc>
          <w:tcPr>
            <w:tcW w:w="1098" w:type="dxa"/>
            <w:vAlign w:val="center"/>
          </w:tcPr>
          <w:p w14:paraId="14FBB82C" w14:textId="77777777" w:rsidR="000E702E" w:rsidRDefault="000E702E">
            <w:pPr>
              <w:spacing w:before="60" w:after="60"/>
              <w:jc w:val="center"/>
            </w:pPr>
          </w:p>
        </w:tc>
        <w:tc>
          <w:tcPr>
            <w:tcW w:w="1099" w:type="dxa"/>
            <w:vAlign w:val="center"/>
          </w:tcPr>
          <w:p w14:paraId="17D51ED2" w14:textId="77777777" w:rsidR="000E702E" w:rsidRDefault="000E702E">
            <w:pPr>
              <w:spacing w:before="60" w:after="60"/>
              <w:jc w:val="center"/>
            </w:pPr>
          </w:p>
        </w:tc>
        <w:tc>
          <w:tcPr>
            <w:tcW w:w="1098" w:type="dxa"/>
            <w:vAlign w:val="center"/>
          </w:tcPr>
          <w:p w14:paraId="660C0D36" w14:textId="77777777" w:rsidR="000E702E" w:rsidRDefault="000E702E">
            <w:pPr>
              <w:spacing w:before="60" w:after="60"/>
              <w:jc w:val="center"/>
            </w:pPr>
          </w:p>
        </w:tc>
        <w:tc>
          <w:tcPr>
            <w:tcW w:w="1099" w:type="dxa"/>
            <w:vAlign w:val="center"/>
          </w:tcPr>
          <w:p w14:paraId="7763BDBA" w14:textId="77777777" w:rsidR="000E702E" w:rsidRDefault="000E702E">
            <w:pPr>
              <w:spacing w:before="60" w:after="60"/>
              <w:jc w:val="center"/>
            </w:pPr>
          </w:p>
        </w:tc>
      </w:tr>
      <w:tr w:rsidR="000E702E" w14:paraId="553CBF2F" w14:textId="77777777">
        <w:trPr>
          <w:trHeight w:val="907"/>
        </w:trPr>
        <w:tc>
          <w:tcPr>
            <w:tcW w:w="425" w:type="dxa"/>
            <w:vAlign w:val="center"/>
          </w:tcPr>
          <w:p w14:paraId="6E79F44A" w14:textId="77777777" w:rsidR="000E702E" w:rsidRDefault="00000000">
            <w:pPr>
              <w:spacing w:before="60" w:after="60"/>
              <w:jc w:val="center"/>
              <w:rPr>
                <w:b/>
                <w:bCs/>
              </w:rPr>
            </w:pPr>
            <w:r>
              <w:rPr>
                <w:b/>
                <w:bCs/>
              </w:rPr>
              <w:t>2</w:t>
            </w:r>
          </w:p>
        </w:tc>
        <w:tc>
          <w:tcPr>
            <w:tcW w:w="4224" w:type="dxa"/>
            <w:vAlign w:val="center"/>
          </w:tcPr>
          <w:p w14:paraId="579DB551" w14:textId="77777777" w:rsidR="000E702E" w:rsidRDefault="00000000">
            <w:pPr>
              <w:spacing w:before="60" w:after="60"/>
            </w:pPr>
            <w:r>
              <w:t>It’s just junk.</w:t>
            </w:r>
          </w:p>
        </w:tc>
        <w:tc>
          <w:tcPr>
            <w:tcW w:w="1098" w:type="dxa"/>
            <w:vAlign w:val="center"/>
          </w:tcPr>
          <w:p w14:paraId="5841B6C5" w14:textId="77777777" w:rsidR="000E702E" w:rsidRDefault="000E702E">
            <w:pPr>
              <w:spacing w:before="60" w:after="60"/>
              <w:jc w:val="center"/>
            </w:pPr>
          </w:p>
        </w:tc>
        <w:tc>
          <w:tcPr>
            <w:tcW w:w="1099" w:type="dxa"/>
            <w:vAlign w:val="center"/>
          </w:tcPr>
          <w:p w14:paraId="6C0D954E" w14:textId="77777777" w:rsidR="000E702E" w:rsidRDefault="000E702E">
            <w:pPr>
              <w:spacing w:before="60" w:after="60"/>
              <w:jc w:val="center"/>
            </w:pPr>
          </w:p>
        </w:tc>
        <w:tc>
          <w:tcPr>
            <w:tcW w:w="1098" w:type="dxa"/>
            <w:vAlign w:val="center"/>
          </w:tcPr>
          <w:p w14:paraId="6025C732" w14:textId="77777777" w:rsidR="000E702E" w:rsidRDefault="000E702E">
            <w:pPr>
              <w:spacing w:before="60" w:after="60"/>
              <w:jc w:val="center"/>
            </w:pPr>
          </w:p>
        </w:tc>
        <w:tc>
          <w:tcPr>
            <w:tcW w:w="1099" w:type="dxa"/>
            <w:vAlign w:val="center"/>
          </w:tcPr>
          <w:p w14:paraId="2457BEBB" w14:textId="77777777" w:rsidR="000E702E" w:rsidRDefault="000E702E">
            <w:pPr>
              <w:spacing w:before="60" w:after="60"/>
              <w:jc w:val="center"/>
            </w:pPr>
          </w:p>
        </w:tc>
      </w:tr>
      <w:tr w:rsidR="000E702E" w14:paraId="3B4E4140" w14:textId="77777777">
        <w:trPr>
          <w:trHeight w:val="907"/>
        </w:trPr>
        <w:tc>
          <w:tcPr>
            <w:tcW w:w="425" w:type="dxa"/>
            <w:vAlign w:val="center"/>
          </w:tcPr>
          <w:p w14:paraId="167F5135" w14:textId="77777777" w:rsidR="000E702E" w:rsidRDefault="00000000">
            <w:pPr>
              <w:spacing w:before="60" w:after="60"/>
              <w:jc w:val="center"/>
              <w:rPr>
                <w:b/>
                <w:bCs/>
              </w:rPr>
            </w:pPr>
            <w:r>
              <w:rPr>
                <w:b/>
                <w:bCs/>
              </w:rPr>
              <w:t>3</w:t>
            </w:r>
          </w:p>
        </w:tc>
        <w:tc>
          <w:tcPr>
            <w:tcW w:w="4224" w:type="dxa"/>
            <w:vAlign w:val="center"/>
          </w:tcPr>
          <w:p w14:paraId="2D5B1DA5" w14:textId="77777777" w:rsidR="000E702E" w:rsidRDefault="00000000">
            <w:pPr>
              <w:spacing w:before="60" w:after="60"/>
            </w:pPr>
            <w:r>
              <w:t>Cells use the information coded in the other 98% to control when genes are used.</w:t>
            </w:r>
          </w:p>
        </w:tc>
        <w:tc>
          <w:tcPr>
            <w:tcW w:w="1098" w:type="dxa"/>
            <w:vAlign w:val="center"/>
          </w:tcPr>
          <w:p w14:paraId="1B8D100C" w14:textId="77777777" w:rsidR="000E702E" w:rsidRDefault="000E702E">
            <w:pPr>
              <w:spacing w:before="60" w:after="60"/>
              <w:jc w:val="center"/>
            </w:pPr>
          </w:p>
        </w:tc>
        <w:tc>
          <w:tcPr>
            <w:tcW w:w="1099" w:type="dxa"/>
            <w:vAlign w:val="center"/>
          </w:tcPr>
          <w:p w14:paraId="0DAD4C51" w14:textId="77777777" w:rsidR="000E702E" w:rsidRDefault="000E702E">
            <w:pPr>
              <w:spacing w:before="60" w:after="60"/>
              <w:jc w:val="center"/>
            </w:pPr>
          </w:p>
        </w:tc>
        <w:tc>
          <w:tcPr>
            <w:tcW w:w="1098" w:type="dxa"/>
            <w:vAlign w:val="center"/>
          </w:tcPr>
          <w:p w14:paraId="4C557C7E" w14:textId="77777777" w:rsidR="000E702E" w:rsidRDefault="000E702E">
            <w:pPr>
              <w:spacing w:before="60" w:after="60"/>
              <w:jc w:val="center"/>
            </w:pPr>
          </w:p>
        </w:tc>
        <w:tc>
          <w:tcPr>
            <w:tcW w:w="1099" w:type="dxa"/>
            <w:vAlign w:val="center"/>
          </w:tcPr>
          <w:p w14:paraId="0695C90A" w14:textId="77777777" w:rsidR="000E702E" w:rsidRDefault="000E702E">
            <w:pPr>
              <w:spacing w:before="60" w:after="60"/>
              <w:jc w:val="center"/>
            </w:pPr>
          </w:p>
        </w:tc>
      </w:tr>
      <w:tr w:rsidR="000E702E" w14:paraId="2A23D466" w14:textId="77777777">
        <w:trPr>
          <w:trHeight w:val="907"/>
        </w:trPr>
        <w:tc>
          <w:tcPr>
            <w:tcW w:w="425" w:type="dxa"/>
            <w:vAlign w:val="center"/>
          </w:tcPr>
          <w:p w14:paraId="442A0C11" w14:textId="77777777" w:rsidR="000E702E" w:rsidRDefault="00000000">
            <w:pPr>
              <w:spacing w:before="60" w:after="60"/>
              <w:jc w:val="center"/>
              <w:rPr>
                <w:b/>
                <w:bCs/>
              </w:rPr>
            </w:pPr>
            <w:r>
              <w:rPr>
                <w:b/>
                <w:bCs/>
              </w:rPr>
              <w:t>4</w:t>
            </w:r>
          </w:p>
        </w:tc>
        <w:tc>
          <w:tcPr>
            <w:tcW w:w="4224" w:type="dxa"/>
            <w:vAlign w:val="center"/>
          </w:tcPr>
          <w:p w14:paraId="1C1DBD86" w14:textId="77777777" w:rsidR="000E702E" w:rsidRDefault="00000000">
            <w:pPr>
              <w:spacing w:before="60" w:after="60"/>
            </w:pPr>
            <w:r>
              <w:t>The information coded in the other 98% can affect our characteristics.</w:t>
            </w:r>
          </w:p>
        </w:tc>
        <w:tc>
          <w:tcPr>
            <w:tcW w:w="1098" w:type="dxa"/>
            <w:vAlign w:val="center"/>
          </w:tcPr>
          <w:p w14:paraId="3BFC6CE3" w14:textId="77777777" w:rsidR="000E702E" w:rsidRDefault="000E702E">
            <w:pPr>
              <w:spacing w:before="60" w:after="60"/>
              <w:jc w:val="center"/>
            </w:pPr>
          </w:p>
        </w:tc>
        <w:tc>
          <w:tcPr>
            <w:tcW w:w="1099" w:type="dxa"/>
            <w:vAlign w:val="center"/>
          </w:tcPr>
          <w:p w14:paraId="5DEA0493" w14:textId="77777777" w:rsidR="000E702E" w:rsidRDefault="000E702E">
            <w:pPr>
              <w:spacing w:before="60" w:after="60"/>
              <w:jc w:val="center"/>
            </w:pPr>
          </w:p>
        </w:tc>
        <w:tc>
          <w:tcPr>
            <w:tcW w:w="1098" w:type="dxa"/>
            <w:vAlign w:val="center"/>
          </w:tcPr>
          <w:p w14:paraId="75BE5982" w14:textId="77777777" w:rsidR="000E702E" w:rsidRDefault="000E702E">
            <w:pPr>
              <w:spacing w:before="60" w:after="60"/>
              <w:jc w:val="center"/>
            </w:pPr>
          </w:p>
        </w:tc>
        <w:tc>
          <w:tcPr>
            <w:tcW w:w="1099" w:type="dxa"/>
            <w:vAlign w:val="center"/>
          </w:tcPr>
          <w:p w14:paraId="227CD5D3" w14:textId="77777777" w:rsidR="000E702E" w:rsidRDefault="000E702E">
            <w:pPr>
              <w:spacing w:before="60" w:after="60"/>
              <w:jc w:val="center"/>
            </w:pPr>
          </w:p>
        </w:tc>
      </w:tr>
    </w:tbl>
    <w:p w14:paraId="3B98113D" w14:textId="77777777" w:rsidR="000E702E" w:rsidRDefault="000E702E">
      <w:pPr>
        <w:spacing w:after="240"/>
        <w:sectPr w:rsidR="000E702E">
          <w:headerReference w:type="default" r:id="rId9"/>
          <w:footerReference w:type="default" r:id="rId10"/>
          <w:pgSz w:w="11906" w:h="16838"/>
          <w:pgMar w:top="1440" w:right="1440" w:bottom="1440" w:left="1440" w:header="709" w:footer="567" w:gutter="0"/>
          <w:pgNumType w:start="1"/>
          <w:cols w:space="708"/>
        </w:sectPr>
      </w:pPr>
    </w:p>
    <w:p w14:paraId="55E78434" w14:textId="77777777" w:rsidR="000E702E" w:rsidRDefault="000E702E"/>
    <w:p w14:paraId="2DC79D4D" w14:textId="77777777" w:rsidR="000E702E" w:rsidRDefault="00000000">
      <w:pPr>
        <w:spacing w:after="180"/>
        <w:rPr>
          <w:b/>
          <w:bCs/>
          <w:color w:val="538135"/>
          <w:sz w:val="24"/>
          <w:szCs w:val="24"/>
        </w:rPr>
      </w:pPr>
      <w:r>
        <w:rPr>
          <w:b/>
          <w:bCs/>
          <w:color w:val="538135"/>
          <w:sz w:val="24"/>
          <w:szCs w:val="24"/>
        </w:rPr>
        <w:t>What does the research say?</w:t>
      </w:r>
    </w:p>
    <w:p w14:paraId="2D955BB3" w14:textId="41C92101" w:rsidR="000E702E" w:rsidRPr="006561BC" w:rsidRDefault="00000000">
      <w:pPr>
        <w:spacing w:after="180"/>
      </w:pPr>
      <w:r>
        <w:t>Defined simply, the genome is the entire DNA of an organism. Recent estimates suggest that genes (“coding” regions of DNA whose sequences encode the order in which amino acids are joined together to make proteins) make up less than 2% of the DNA in the genome (Pennisi, 2007); up to 80% of the remaining “non-coding” DNA – historically mischaracterised as “junk” – is important in controlling gene expression (how and when genes are used to make proteins). Most heritable traits are affected by multiple regions of coding and non-coding DNA.</w:t>
      </w:r>
    </w:p>
    <w:p w14:paraId="55EBB473" w14:textId="77777777" w:rsidR="000E702E" w:rsidRDefault="00000000">
      <w:pPr>
        <w:spacing w:after="180"/>
        <w:rPr>
          <w:b/>
          <w:bCs/>
          <w:color w:val="538135"/>
          <w:sz w:val="24"/>
          <w:szCs w:val="24"/>
        </w:rPr>
      </w:pPr>
      <w:r>
        <w:rPr>
          <w:b/>
          <w:bCs/>
          <w:color w:val="538135"/>
          <w:sz w:val="24"/>
          <w:szCs w:val="24"/>
        </w:rPr>
        <w:t>Expected answers</w:t>
      </w:r>
    </w:p>
    <w:p w14:paraId="4E76721F" w14:textId="77777777" w:rsidR="000E702E" w:rsidRDefault="00000000">
      <w:pPr>
        <w:numPr>
          <w:ilvl w:val="0"/>
          <w:numId w:val="2"/>
        </w:numPr>
        <w:pBdr>
          <w:top w:val="nil"/>
          <w:left w:val="nil"/>
          <w:bottom w:val="nil"/>
          <w:right w:val="nil"/>
          <w:between w:val="nil"/>
        </w:pBdr>
        <w:ind w:left="426"/>
      </w:pPr>
      <w:r>
        <w:rPr>
          <w:color w:val="000000"/>
        </w:rPr>
        <w:t xml:space="preserve">Cells use the information coded in the other 98% as instructions to make proteins – </w:t>
      </w:r>
      <w:r>
        <w:rPr>
          <w:b/>
          <w:bCs/>
          <w:color w:val="000000"/>
        </w:rPr>
        <w:t>wrong</w:t>
      </w:r>
      <w:r>
        <w:rPr>
          <w:color w:val="000000"/>
        </w:rPr>
        <w:t xml:space="preserve"> (the information coded in genes – the 2% – is used as instructions to make proteins)</w:t>
      </w:r>
    </w:p>
    <w:p w14:paraId="31050101" w14:textId="77777777" w:rsidR="000E702E" w:rsidRDefault="00000000">
      <w:pPr>
        <w:numPr>
          <w:ilvl w:val="0"/>
          <w:numId w:val="2"/>
        </w:numPr>
        <w:pBdr>
          <w:top w:val="nil"/>
          <w:left w:val="nil"/>
          <w:bottom w:val="nil"/>
          <w:right w:val="nil"/>
          <w:between w:val="nil"/>
        </w:pBdr>
        <w:ind w:left="426"/>
      </w:pPr>
      <w:bookmarkStart w:id="0" w:name="_heading=h.n7jnyec3v8ya" w:colFirst="0" w:colLast="0"/>
      <w:bookmarkEnd w:id="0"/>
      <w:r>
        <w:rPr>
          <w:color w:val="000000"/>
        </w:rPr>
        <w:t xml:space="preserve">It’s just junk – </w:t>
      </w:r>
      <w:r>
        <w:rPr>
          <w:b/>
          <w:bCs/>
          <w:color w:val="000000"/>
        </w:rPr>
        <w:t>wrong</w:t>
      </w:r>
      <w:r>
        <w:rPr>
          <w:color w:val="000000"/>
        </w:rPr>
        <w:t xml:space="preserve"> (up to 80% of it is important in controlling gene expression – i.e. how and when genes are used to make proteins)</w:t>
      </w:r>
    </w:p>
    <w:p w14:paraId="280452DD" w14:textId="77777777" w:rsidR="000E702E" w:rsidRDefault="00000000">
      <w:pPr>
        <w:numPr>
          <w:ilvl w:val="0"/>
          <w:numId w:val="2"/>
        </w:numPr>
        <w:pBdr>
          <w:top w:val="nil"/>
          <w:left w:val="nil"/>
          <w:bottom w:val="nil"/>
          <w:right w:val="nil"/>
          <w:between w:val="nil"/>
        </w:pBdr>
        <w:ind w:left="426"/>
      </w:pPr>
      <w:r>
        <w:rPr>
          <w:color w:val="000000"/>
        </w:rPr>
        <w:t xml:space="preserve">Cells use the information coded in the other 98% to control when genes are used – </w:t>
      </w:r>
      <w:r>
        <w:rPr>
          <w:b/>
          <w:bCs/>
          <w:color w:val="000000"/>
        </w:rPr>
        <w:t>right</w:t>
      </w:r>
      <w:r>
        <w:rPr>
          <w:color w:val="000000"/>
        </w:rPr>
        <w:t xml:space="preserve"> </w:t>
      </w:r>
    </w:p>
    <w:p w14:paraId="48EBB769" w14:textId="77777777" w:rsidR="000E702E" w:rsidRDefault="00000000">
      <w:pPr>
        <w:numPr>
          <w:ilvl w:val="0"/>
          <w:numId w:val="2"/>
        </w:numPr>
        <w:pBdr>
          <w:top w:val="nil"/>
          <w:left w:val="nil"/>
          <w:bottom w:val="nil"/>
          <w:right w:val="nil"/>
          <w:between w:val="nil"/>
        </w:pBdr>
        <w:spacing w:after="180"/>
        <w:ind w:left="426"/>
      </w:pPr>
      <w:r>
        <w:rPr>
          <w:color w:val="000000"/>
        </w:rPr>
        <w:t xml:space="preserve">The information coded in the other 98% can affect our characteristics – </w:t>
      </w:r>
      <w:r>
        <w:rPr>
          <w:b/>
          <w:bCs/>
          <w:color w:val="000000"/>
        </w:rPr>
        <w:t>right</w:t>
      </w:r>
      <w:r>
        <w:rPr>
          <w:color w:val="000000"/>
        </w:rPr>
        <w:t xml:space="preserve"> </w:t>
      </w:r>
    </w:p>
    <w:p w14:paraId="15E809CB" w14:textId="77777777" w:rsidR="000E702E" w:rsidRDefault="00000000">
      <w:pPr>
        <w:spacing w:after="180"/>
        <w:rPr>
          <w:b/>
          <w:bCs/>
          <w:color w:val="538135"/>
          <w:sz w:val="24"/>
          <w:szCs w:val="24"/>
        </w:rPr>
      </w:pPr>
      <w:r>
        <w:rPr>
          <w:b/>
          <w:bCs/>
          <w:color w:val="538135"/>
          <w:sz w:val="24"/>
          <w:szCs w:val="24"/>
        </w:rPr>
        <w:t>How to respond - what next?</w:t>
      </w:r>
    </w:p>
    <w:p w14:paraId="01CC71A3" w14:textId="77777777" w:rsidR="000E702E" w:rsidRDefault="00000000">
      <w:pPr>
        <w:spacing w:after="120"/>
        <w:rPr>
          <w:highlight w:val="yellow"/>
        </w:rPr>
      </w:pPr>
      <w:r>
        <w:t>If there is a range of answers, you may choose to respond through structured class discussion. Ask one student to explain why they gave the answer they did; ask another student to explain why they agree with them; ask another to explain why they disagree, and so on. This sort of discussion gives students the opportunity to explore their thinking and for you to really understand their learning needs. Responses often work best when the activities involve paired or small group discussions, which encourage social construction of new ideas through dialogue.</w:t>
      </w:r>
    </w:p>
    <w:p w14:paraId="1E0D3CF9" w14:textId="77777777" w:rsidR="006561BC" w:rsidRDefault="006561BC">
      <w:pPr>
        <w:spacing w:after="180"/>
      </w:pPr>
    </w:p>
    <w:p w14:paraId="22CEE404" w14:textId="5C03EFA4" w:rsidR="000E702E" w:rsidRDefault="00000000">
      <w:pPr>
        <w:spacing w:after="180"/>
        <w:rPr>
          <w:b/>
          <w:bCs/>
          <w:color w:val="538135"/>
          <w:sz w:val="24"/>
          <w:szCs w:val="24"/>
        </w:rPr>
      </w:pPr>
      <w:r>
        <w:rPr>
          <w:b/>
          <w:bCs/>
          <w:color w:val="538135"/>
          <w:sz w:val="24"/>
          <w:szCs w:val="24"/>
        </w:rPr>
        <w:t>Acknowledgments</w:t>
      </w:r>
    </w:p>
    <w:p w14:paraId="760E1F94" w14:textId="77777777" w:rsidR="000E702E" w:rsidRDefault="00000000">
      <w:pPr>
        <w:spacing w:after="180"/>
      </w:pPr>
      <w:r>
        <w:t>Developed by Alistair Moore (UYSEG).</w:t>
      </w:r>
    </w:p>
    <w:p w14:paraId="16DE5E77" w14:textId="127F18B8" w:rsidR="000E702E" w:rsidRDefault="00000000">
      <w:pPr>
        <w:spacing w:after="180"/>
      </w:pPr>
      <w:r>
        <w:t xml:space="preserve">Images: </w:t>
      </w:r>
      <w:hyperlink r:id="rId11" w:history="1">
        <w:r w:rsidR="00F07FAE" w:rsidRPr="00FD576D">
          <w:rPr>
            <w:rStyle w:val="Hyperlink"/>
          </w:rPr>
          <w:t>https://nl.wikipedia.org/wiki/Gen</w:t>
        </w:r>
      </w:hyperlink>
      <w:r w:rsidR="00F07FAE">
        <w:t xml:space="preserve"> </w:t>
      </w:r>
    </w:p>
    <w:p w14:paraId="0CF918EB" w14:textId="77777777" w:rsidR="006561BC" w:rsidRDefault="006561BC">
      <w:pPr>
        <w:spacing w:after="180"/>
        <w:rPr>
          <w:b/>
          <w:bCs/>
          <w:color w:val="538135"/>
          <w:sz w:val="24"/>
          <w:szCs w:val="24"/>
        </w:rPr>
      </w:pPr>
    </w:p>
    <w:p w14:paraId="6BDAABB5" w14:textId="7CE8E07D" w:rsidR="000E702E" w:rsidRDefault="00000000">
      <w:pPr>
        <w:spacing w:after="180"/>
        <w:rPr>
          <w:b/>
          <w:bCs/>
          <w:color w:val="538135"/>
          <w:sz w:val="24"/>
          <w:szCs w:val="24"/>
        </w:rPr>
      </w:pPr>
      <w:r>
        <w:rPr>
          <w:b/>
          <w:bCs/>
          <w:color w:val="538135"/>
          <w:sz w:val="24"/>
          <w:szCs w:val="24"/>
        </w:rPr>
        <w:t>References</w:t>
      </w:r>
    </w:p>
    <w:p w14:paraId="3EFA2C99"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Airey, J., Moore, A. and Bennett, J. (2018). Viewed as a whole: syntheses of research evidence and teaching support resources related to genomics education in schools. A report to the </w:t>
      </w:r>
      <w:proofErr w:type="spellStart"/>
      <w:r>
        <w:rPr>
          <w:color w:val="000000"/>
          <w:sz w:val="20"/>
          <w:szCs w:val="20"/>
        </w:rPr>
        <w:t>Wellcome</w:t>
      </w:r>
      <w:proofErr w:type="spellEnd"/>
      <w:r>
        <w:rPr>
          <w:color w:val="000000"/>
          <w:sz w:val="20"/>
          <w:szCs w:val="20"/>
        </w:rPr>
        <w:t xml:space="preserve"> Genome Campus Public Engagement Team: University of York, UK.</w:t>
      </w:r>
    </w:p>
    <w:p w14:paraId="1E8DCE83"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Lewis, J. and Kattmann, U. (2004). Traits, genes, particles and information: re-visiting students' understandings of genetics. </w:t>
      </w:r>
      <w:r>
        <w:rPr>
          <w:i/>
          <w:iCs/>
          <w:color w:val="000000"/>
          <w:sz w:val="20"/>
          <w:szCs w:val="20"/>
        </w:rPr>
        <w:t>International Journal of Science Education,</w:t>
      </w:r>
      <w:r>
        <w:rPr>
          <w:color w:val="000000"/>
          <w:sz w:val="20"/>
          <w:szCs w:val="20"/>
        </w:rPr>
        <w:t xml:space="preserve"> 26(2)</w:t>
      </w:r>
      <w:r>
        <w:rPr>
          <w:b/>
          <w:bCs/>
          <w:color w:val="000000"/>
          <w:sz w:val="20"/>
          <w:szCs w:val="20"/>
        </w:rPr>
        <w:t>,</w:t>
      </w:r>
      <w:r>
        <w:rPr>
          <w:color w:val="000000"/>
          <w:sz w:val="20"/>
          <w:szCs w:val="20"/>
        </w:rPr>
        <w:t xml:space="preserve"> 195-206.</w:t>
      </w:r>
    </w:p>
    <w:p w14:paraId="413844C4"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Pennisi, E. (2007). DNA study forces rethink of what it means to be a gene. </w:t>
      </w:r>
      <w:r>
        <w:rPr>
          <w:i/>
          <w:iCs/>
          <w:color w:val="000000"/>
          <w:sz w:val="20"/>
          <w:szCs w:val="20"/>
        </w:rPr>
        <w:t>Science,</w:t>
      </w:r>
      <w:r>
        <w:rPr>
          <w:color w:val="000000"/>
          <w:sz w:val="20"/>
          <w:szCs w:val="20"/>
        </w:rPr>
        <w:t xml:space="preserve"> 316(5831)</w:t>
      </w:r>
      <w:r>
        <w:rPr>
          <w:b/>
          <w:bCs/>
          <w:color w:val="000000"/>
          <w:sz w:val="20"/>
          <w:szCs w:val="20"/>
        </w:rPr>
        <w:t>,</w:t>
      </w:r>
      <w:r>
        <w:rPr>
          <w:color w:val="000000"/>
          <w:sz w:val="20"/>
          <w:szCs w:val="20"/>
        </w:rPr>
        <w:t xml:space="preserve"> 1556-1557.</w:t>
      </w:r>
    </w:p>
    <w:p w14:paraId="26B2F07E" w14:textId="77777777" w:rsidR="000E702E" w:rsidRDefault="00000000">
      <w:pPr>
        <w:pBdr>
          <w:top w:val="nil"/>
          <w:left w:val="nil"/>
          <w:bottom w:val="nil"/>
          <w:right w:val="nil"/>
          <w:between w:val="nil"/>
        </w:pBdr>
        <w:spacing w:after="120"/>
        <w:rPr>
          <w:color w:val="000000"/>
          <w:sz w:val="20"/>
          <w:szCs w:val="20"/>
        </w:rPr>
      </w:pPr>
      <w:r>
        <w:rPr>
          <w:color w:val="000000"/>
          <w:sz w:val="20"/>
          <w:szCs w:val="20"/>
        </w:rPr>
        <w:t xml:space="preserve">Stern, F. and </w:t>
      </w:r>
      <w:proofErr w:type="spellStart"/>
      <w:r>
        <w:rPr>
          <w:color w:val="000000"/>
          <w:sz w:val="20"/>
          <w:szCs w:val="20"/>
        </w:rPr>
        <w:t>Kampourakis</w:t>
      </w:r>
      <w:proofErr w:type="spellEnd"/>
      <w:r>
        <w:rPr>
          <w:color w:val="000000"/>
          <w:sz w:val="20"/>
          <w:szCs w:val="20"/>
        </w:rPr>
        <w:t xml:space="preserve">, K. (2017). Teaching for genetics literacy in the post-genomic era. </w:t>
      </w:r>
      <w:r>
        <w:rPr>
          <w:i/>
          <w:iCs/>
          <w:color w:val="000000"/>
          <w:sz w:val="20"/>
          <w:szCs w:val="20"/>
        </w:rPr>
        <w:t>Studies in Science Education,</w:t>
      </w:r>
      <w:r>
        <w:rPr>
          <w:color w:val="000000"/>
          <w:sz w:val="20"/>
          <w:szCs w:val="20"/>
        </w:rPr>
        <w:t xml:space="preserve"> 53(2)</w:t>
      </w:r>
      <w:r>
        <w:rPr>
          <w:b/>
          <w:bCs/>
          <w:color w:val="000000"/>
          <w:sz w:val="20"/>
          <w:szCs w:val="20"/>
        </w:rPr>
        <w:t>,</w:t>
      </w:r>
      <w:r>
        <w:rPr>
          <w:color w:val="000000"/>
          <w:sz w:val="20"/>
          <w:szCs w:val="20"/>
        </w:rPr>
        <w:t xml:space="preserve"> 193-225.</w:t>
      </w:r>
    </w:p>
    <w:p w14:paraId="39C0CAB8" w14:textId="77777777" w:rsidR="000E702E" w:rsidRDefault="000E702E">
      <w:pPr>
        <w:spacing w:after="120"/>
      </w:pPr>
    </w:p>
    <w:sectPr w:rsidR="000E702E">
      <w:headerReference w:type="default" r:id="rId12"/>
      <w:pgSz w:w="11906" w:h="16838"/>
      <w:pgMar w:top="1440" w:right="1440" w:bottom="1440" w:left="1440"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C2432C" w14:textId="77777777" w:rsidR="00247D13" w:rsidRDefault="00247D13">
      <w:r>
        <w:separator/>
      </w:r>
    </w:p>
  </w:endnote>
  <w:endnote w:type="continuationSeparator" w:id="0">
    <w:p w14:paraId="591974B4" w14:textId="77777777" w:rsidR="00247D13" w:rsidRDefault="00247D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C42EC8A-B580-4AC2-B47C-DEA332231E6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D348F679-C6DD-4D3C-9D9A-D4CED27FCAC2}"/>
    <w:embedBold r:id="rId3" w:fontKey="{E92F13A2-1954-4EA4-B68D-AB509AD71CBA}"/>
    <w:embedItalic r:id="rId4" w:fontKey="{204D3508-6B41-4373-9145-A77696BCE345}"/>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1653A12-0CDB-4D59-8B75-CD068D53071D}"/>
  </w:font>
  <w:font w:name="Georgia">
    <w:panose1 w:val="02040502050405020303"/>
    <w:charset w:val="00"/>
    <w:family w:val="roman"/>
    <w:pitch w:val="variable"/>
    <w:sig w:usb0="00000287" w:usb1="00000000" w:usb2="00000000" w:usb3="00000000" w:csb0="0000009F" w:csb1="00000000"/>
    <w:embedItalic r:id="rId6" w:fontKey="{E3E7B1EE-BFEA-4061-9921-A9D7D7097612}"/>
  </w:font>
  <w:font w:name="Cambria">
    <w:panose1 w:val="02040503050406030204"/>
    <w:charset w:val="00"/>
    <w:family w:val="roman"/>
    <w:pitch w:val="variable"/>
    <w:sig w:usb0="E00006FF" w:usb1="420024FF" w:usb2="02000000" w:usb3="00000000" w:csb0="0000019F" w:csb1="00000000"/>
    <w:embedRegular r:id="rId7" w:fontKey="{BB1BF14C-3700-4399-AF69-ABDC18DE3A1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FE86D7" w14:textId="77777777" w:rsidR="000E702E" w:rsidRDefault="00000000">
    <w:pPr>
      <w:pBdr>
        <w:top w:val="nil"/>
        <w:left w:val="nil"/>
        <w:bottom w:val="nil"/>
        <w:right w:val="nil"/>
        <w:between w:val="nil"/>
      </w:pBdr>
      <w:tabs>
        <w:tab w:val="center" w:pos="4513"/>
        <w:tab w:val="right" w:pos="9026"/>
        <w:tab w:val="right" w:pos="9072"/>
      </w:tabs>
      <w:rPr>
        <w:color w:val="000000"/>
      </w:rPr>
    </w:pPr>
    <w:r>
      <w:rPr>
        <w:color w:val="000000"/>
        <w:sz w:val="16"/>
        <w:szCs w:val="16"/>
      </w:rPr>
      <w:t>Developed by the University of York Science Education Group and the Salters’ Institute.</w:t>
    </w:r>
    <w:r>
      <w:rPr>
        <w:color w:val="000000"/>
        <w:sz w:val="16"/>
        <w:szCs w:val="16"/>
      </w:rPr>
      <w:tab/>
    </w:r>
    <w:r>
      <w:rPr>
        <w:color w:val="000000"/>
      </w:rPr>
      <w:fldChar w:fldCharType="begin"/>
    </w:r>
    <w:r>
      <w:rPr>
        <w:color w:val="000000"/>
      </w:rPr>
      <w:instrText>PAGE</w:instrText>
    </w:r>
    <w:r>
      <w:rPr>
        <w:color w:val="000000"/>
      </w:rPr>
      <w:fldChar w:fldCharType="separate"/>
    </w:r>
    <w:r w:rsidR="00353F0F">
      <w:rPr>
        <w:noProof/>
        <w:color w:val="000000"/>
      </w:rPr>
      <w:t>1</w:t>
    </w:r>
    <w:r>
      <w:rPr>
        <w:color w:val="000000"/>
      </w:rPr>
      <w:fldChar w:fldCharType="end"/>
    </w:r>
    <w:r>
      <w:rPr>
        <w:noProof/>
      </w:rPr>
      <mc:AlternateContent>
        <mc:Choice Requires="wps">
          <w:drawing>
            <wp:anchor distT="4294967295" distB="4294967295" distL="114300" distR="114300" simplePos="0" relativeHeight="251660288" behindDoc="0" locked="0" layoutInCell="1" hidden="0" allowOverlap="1" wp14:anchorId="00E0BD1B" wp14:editId="48C3619E">
              <wp:simplePos x="0" y="0"/>
              <wp:positionH relativeFrom="column">
                <wp:posOffset>-914399</wp:posOffset>
              </wp:positionH>
              <wp:positionV relativeFrom="paragraph">
                <wp:posOffset>-62864</wp:posOffset>
              </wp:positionV>
              <wp:extent cx="0" cy="12700"/>
              <wp:effectExtent l="0" t="0" r="0" b="0"/>
              <wp:wrapNone/>
              <wp:docPr id="16" name="Rechte verbindingslijn met pijl 16"/>
              <wp:cNvGraphicFramePr/>
              <a:graphic xmlns:a="http://schemas.openxmlformats.org/drawingml/2006/main">
                <a:graphicData uri="http://schemas.microsoft.com/office/word/2010/wordprocessingShape">
                  <wps:wsp>
                    <wps:cNvCnPr/>
                    <wps:spPr>
                      <a:xfrm>
                        <a:off x="1560600" y="3780000"/>
                        <a:ext cx="7570800"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-62864</wp:posOffset>
              </wp:positionV>
              <wp:extent cx="0" cy="12700"/>
              <wp:effectExtent b="0" l="0" r="0" t="0"/>
              <wp:wrapNone/>
              <wp:docPr id="1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7F87AD49" w14:textId="7174C5DF" w:rsidR="000E702E" w:rsidRDefault="00000000">
    <w:pPr>
      <w:pBdr>
        <w:top w:val="nil"/>
        <w:left w:val="nil"/>
        <w:bottom w:val="nil"/>
        <w:right w:val="nil"/>
        <w:between w:val="nil"/>
      </w:pBdr>
      <w:tabs>
        <w:tab w:val="center" w:pos="4513"/>
        <w:tab w:val="right" w:pos="9026"/>
        <w:tab w:val="right" w:pos="9072"/>
      </w:tabs>
      <w:rPr>
        <w:color w:val="000000"/>
        <w:sz w:val="16"/>
        <w:szCs w:val="16"/>
      </w:rPr>
    </w:pPr>
    <w:r>
      <w:rPr>
        <w:color w:val="000000"/>
        <w:sz w:val="16"/>
        <w:szCs w:val="16"/>
      </w:rPr>
      <w:t xml:space="preserve">This document </w:t>
    </w:r>
    <w:r w:rsidR="00F07FAE">
      <w:rPr>
        <w:color w:val="000000"/>
        <w:sz w:val="16"/>
        <w:szCs w:val="16"/>
      </w:rPr>
      <w:t xml:space="preserve">has </w:t>
    </w:r>
    <w:r>
      <w:rPr>
        <w:color w:val="000000"/>
        <w:sz w:val="16"/>
        <w:szCs w:val="16"/>
      </w:rPr>
      <w:t>been edited</w:t>
    </w:r>
    <w:r w:rsidR="00F07FAE">
      <w:rPr>
        <w:color w:val="000000"/>
        <w:sz w:val="16"/>
        <w:szCs w:val="16"/>
      </w:rPr>
      <w:t xml:space="preserve"> by the NVON</w:t>
    </w:r>
    <w:r>
      <w:rPr>
        <w:color w:val="000000"/>
        <w:sz w:val="16"/>
        <w:szCs w:val="16"/>
      </w:rPr>
      <w:t xml:space="preserve">. Download the original from </w:t>
    </w:r>
    <w:r>
      <w:rPr>
        <w:b/>
        <w:bCs/>
        <w:color w:val="000000"/>
        <w:sz w:val="16"/>
        <w:szCs w:val="16"/>
      </w:rPr>
      <w:t>www.BestEvidenceScienceTeaching.org</w:t>
    </w:r>
  </w:p>
  <w:p w14:paraId="130FB8CB" w14:textId="77777777" w:rsidR="000E702E"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 University of York Science Education Group. Distributed under a Creative Commons Attribution-</w:t>
    </w:r>
    <w:proofErr w:type="spellStart"/>
    <w:r>
      <w:rPr>
        <w:color w:val="000000"/>
        <w:sz w:val="16"/>
        <w:szCs w:val="16"/>
      </w:rPr>
      <w:t>NonCommercial</w:t>
    </w:r>
    <w:proofErr w:type="spellEnd"/>
    <w:r>
      <w:rPr>
        <w:color w:val="000000"/>
        <w:sz w:val="16"/>
        <w:szCs w:val="16"/>
      </w:rPr>
      <w:t xml:space="preserve">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727286" w14:textId="77777777" w:rsidR="00247D13" w:rsidRDefault="00247D13">
      <w:r>
        <w:separator/>
      </w:r>
    </w:p>
  </w:footnote>
  <w:footnote w:type="continuationSeparator" w:id="0">
    <w:p w14:paraId="15F54910" w14:textId="77777777" w:rsidR="00247D13" w:rsidRDefault="00247D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E855" w14:textId="77777777" w:rsidR="000E702E" w:rsidRDefault="00000000">
    <w:pPr>
      <w:pBdr>
        <w:top w:val="nil"/>
        <w:left w:val="nil"/>
        <w:bottom w:val="nil"/>
        <w:right w:val="nil"/>
        <w:between w:val="nil"/>
      </w:pBdr>
      <w:tabs>
        <w:tab w:val="center" w:pos="4513"/>
        <w:tab w:val="right" w:pos="9026"/>
      </w:tabs>
      <w:ind w:left="3407" w:firstLine="3255"/>
      <w:rPr>
        <w:b/>
        <w:bCs/>
        <w:color w:val="000000"/>
        <w:sz w:val="24"/>
        <w:szCs w:val="24"/>
      </w:rPr>
    </w:pPr>
    <w:r>
      <w:rPr>
        <w:b/>
        <w:bCs/>
        <w:color w:val="000000"/>
        <w:sz w:val="24"/>
        <w:szCs w:val="24"/>
      </w:rPr>
      <w:t>STUDENT WORKSHEET</w:t>
    </w:r>
    <w:r>
      <w:rPr>
        <w:noProof/>
      </w:rPr>
      <w:drawing>
        <wp:anchor distT="0" distB="0" distL="114300" distR="114300" simplePos="0" relativeHeight="251658240" behindDoc="0" locked="0" layoutInCell="1" hidden="0" allowOverlap="1" wp14:anchorId="4C3557F0" wp14:editId="357B6B0E">
          <wp:simplePos x="0" y="0"/>
          <wp:positionH relativeFrom="column">
            <wp:posOffset>-9524</wp:posOffset>
          </wp:positionH>
          <wp:positionV relativeFrom="paragraph">
            <wp:posOffset>-177164</wp:posOffset>
          </wp:positionV>
          <wp:extent cx="867600" cy="363600"/>
          <wp:effectExtent l="0" t="0" r="0" b="0"/>
          <wp:wrapNone/>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867600" cy="363600"/>
                  </a:xfrm>
                  <a:prstGeom prst="rect">
                    <a:avLst/>
                  </a:prstGeom>
                  <a:ln/>
                </pic:spPr>
              </pic:pic>
            </a:graphicData>
          </a:graphic>
        </wp:anchor>
      </w:drawing>
    </w:r>
    <w:r>
      <w:rPr>
        <w:noProof/>
      </w:rPr>
      <mc:AlternateContent>
        <mc:Choice Requires="wps">
          <w:drawing>
            <wp:anchor distT="4294967295" distB="4294967295" distL="114300" distR="114300" simplePos="0" relativeHeight="251659264" behindDoc="0" locked="0" layoutInCell="1" hidden="0" allowOverlap="1" wp14:anchorId="5AC6BBE5" wp14:editId="152328CB">
              <wp:simplePos x="0" y="0"/>
              <wp:positionH relativeFrom="column">
                <wp:posOffset>-914399</wp:posOffset>
              </wp:positionH>
              <wp:positionV relativeFrom="paragraph">
                <wp:posOffset>262890</wp:posOffset>
              </wp:positionV>
              <wp:extent cx="0" cy="12700"/>
              <wp:effectExtent l="0" t="0" r="0" b="0"/>
              <wp:wrapNone/>
              <wp:docPr id="13" name="Rechte verbindingslijn met pijl 13"/>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262890</wp:posOffset>
              </wp:positionV>
              <wp:extent cx="0" cy="12700"/>
              <wp:effectExtent b="0" l="0" r="0" t="0"/>
              <wp:wrapNone/>
              <wp:docPr id="13"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07E8B6" w14:textId="77777777" w:rsidR="000E702E" w:rsidRDefault="00000000">
    <w:pPr>
      <w:pBdr>
        <w:top w:val="nil"/>
        <w:left w:val="nil"/>
        <w:bottom w:val="nil"/>
        <w:right w:val="nil"/>
        <w:between w:val="nil"/>
      </w:pBdr>
      <w:tabs>
        <w:tab w:val="center" w:pos="4513"/>
        <w:tab w:val="right" w:pos="9026"/>
      </w:tabs>
      <w:ind w:left="3407" w:firstLine="3793"/>
      <w:rPr>
        <w:b/>
        <w:bCs/>
        <w:color w:val="000000"/>
        <w:sz w:val="24"/>
        <w:szCs w:val="24"/>
      </w:rPr>
    </w:pPr>
    <w:r>
      <w:rPr>
        <w:b/>
        <w:bCs/>
        <w:color w:val="000000"/>
        <w:sz w:val="24"/>
        <w:szCs w:val="24"/>
      </w:rPr>
      <w:t>TEACHER NOTES</w:t>
    </w:r>
    <w:r>
      <w:rPr>
        <w:noProof/>
      </w:rPr>
      <w:drawing>
        <wp:anchor distT="0" distB="0" distL="114300" distR="114300" simplePos="0" relativeHeight="251661312" behindDoc="0" locked="0" layoutInCell="1" hidden="0" allowOverlap="1" wp14:anchorId="0A84B5B5" wp14:editId="203B8E63">
          <wp:simplePos x="0" y="0"/>
          <wp:positionH relativeFrom="column">
            <wp:posOffset>-9524</wp:posOffset>
          </wp:positionH>
          <wp:positionV relativeFrom="paragraph">
            <wp:posOffset>-177164</wp:posOffset>
          </wp:positionV>
          <wp:extent cx="867600" cy="363600"/>
          <wp:effectExtent l="0" t="0" r="0" b="0"/>
          <wp:wrapNone/>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867600" cy="363600"/>
                  </a:xfrm>
                  <a:prstGeom prst="rect">
                    <a:avLst/>
                  </a:prstGeom>
                  <a:ln/>
                </pic:spPr>
              </pic:pic>
            </a:graphicData>
          </a:graphic>
        </wp:anchor>
      </w:drawing>
    </w:r>
    <w:r>
      <w:rPr>
        <w:noProof/>
      </w:rPr>
      <mc:AlternateContent>
        <mc:Choice Requires="wps">
          <w:drawing>
            <wp:anchor distT="4294967295" distB="4294967295" distL="114300" distR="114300" simplePos="0" relativeHeight="251662336" behindDoc="0" locked="0" layoutInCell="1" hidden="0" allowOverlap="1" wp14:anchorId="27D23732" wp14:editId="469C3ABA">
              <wp:simplePos x="0" y="0"/>
              <wp:positionH relativeFrom="column">
                <wp:posOffset>-914399</wp:posOffset>
              </wp:positionH>
              <wp:positionV relativeFrom="paragraph">
                <wp:posOffset>262890</wp:posOffset>
              </wp:positionV>
              <wp:extent cx="0" cy="12700"/>
              <wp:effectExtent l="0" t="0" r="0" b="0"/>
              <wp:wrapNone/>
              <wp:docPr id="14" name="Rechte verbindingslijn met pijl 14"/>
              <wp:cNvGraphicFramePr/>
              <a:graphic xmlns:a="http://schemas.openxmlformats.org/drawingml/2006/main">
                <a:graphicData uri="http://schemas.microsoft.com/office/word/2010/wordprocessingShape">
                  <wps:wsp>
                    <wps:cNvCnPr/>
                    <wps:spPr>
                      <a:xfrm>
                        <a:off x="1559813" y="3780000"/>
                        <a:ext cx="7572375" cy="0"/>
                      </a:xfrm>
                      <a:prstGeom prst="straightConnector1">
                        <a:avLst/>
                      </a:prstGeom>
                      <a:noFill/>
                      <a:ln w="12700" cap="flat" cmpd="sng">
                        <a:solidFill>
                          <a:srgbClr val="000000"/>
                        </a:solidFill>
                        <a:prstDash val="solid"/>
                        <a:round/>
                        <a:headEnd type="none" w="med" len="med"/>
                        <a:tailEnd type="none" w="med" len="med"/>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-914399</wp:posOffset>
              </wp:positionH>
              <wp:positionV relativeFrom="paragraph">
                <wp:posOffset>262890</wp:posOffset>
              </wp:positionV>
              <wp:extent cx="0" cy="12700"/>
              <wp:effectExtent b="0" l="0" r="0" t="0"/>
              <wp:wrapNone/>
              <wp:docPr id="14" name="image5.png"/>
              <a:graphic>
                <a:graphicData uri="http://schemas.openxmlformats.org/drawingml/2006/picture">
                  <pic:pic>
                    <pic:nvPicPr>
                      <pic:cNvPr id="0" name="image5.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A721B"/>
    <w:multiLevelType w:val="multilevel"/>
    <w:tmpl w:val="C4B872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6A06757"/>
    <w:multiLevelType w:val="multilevel"/>
    <w:tmpl w:val="9634E4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87374866">
    <w:abstractNumId w:val="0"/>
  </w:num>
  <w:num w:numId="2" w16cid:durableId="121257299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02E"/>
    <w:rsid w:val="00047249"/>
    <w:rsid w:val="000E702E"/>
    <w:rsid w:val="00247D13"/>
    <w:rsid w:val="00353F0F"/>
    <w:rsid w:val="003D5FE3"/>
    <w:rsid w:val="006561BC"/>
    <w:rsid w:val="00D1370B"/>
    <w:rsid w:val="00F07FA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AA47C7"/>
  <w15:docId w15:val="{B197925E-83ED-4E07-B92B-BC99C572D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80" w:after="120"/>
      <w:outlineLvl w:val="0"/>
    </w:pPr>
    <w:rPr>
      <w:b/>
      <w:bCs/>
      <w:sz w:val="48"/>
      <w:szCs w:val="48"/>
    </w:rPr>
  </w:style>
  <w:style w:type="paragraph" w:styleId="Kop2">
    <w:name w:val="heading 2"/>
    <w:basedOn w:val="Standaard"/>
    <w:next w:val="Standaard"/>
    <w:uiPriority w:val="9"/>
    <w:semiHidden/>
    <w:unhideWhenUsed/>
    <w:qFormat/>
    <w:pPr>
      <w:keepNext/>
      <w:keepLines/>
      <w:spacing w:before="360" w:after="80"/>
      <w:outlineLvl w:val="1"/>
    </w:pPr>
    <w:rPr>
      <w:b/>
      <w:bCs/>
      <w:sz w:val="36"/>
      <w:szCs w:val="36"/>
    </w:rPr>
  </w:style>
  <w:style w:type="paragraph" w:styleId="Kop3">
    <w:name w:val="heading 3"/>
    <w:basedOn w:val="Standaard"/>
    <w:next w:val="Standaard"/>
    <w:uiPriority w:val="9"/>
    <w:semiHidden/>
    <w:unhideWhenUsed/>
    <w:qFormat/>
    <w:pPr>
      <w:keepNext/>
      <w:keepLines/>
      <w:spacing w:before="280" w:after="80"/>
      <w:outlineLvl w:val="2"/>
    </w:pPr>
    <w:rPr>
      <w:b/>
      <w:bCs/>
      <w:sz w:val="28"/>
      <w:szCs w:val="28"/>
    </w:rPr>
  </w:style>
  <w:style w:type="paragraph" w:styleId="Kop4">
    <w:name w:val="heading 4"/>
    <w:basedOn w:val="Standaard"/>
    <w:next w:val="Standaard"/>
    <w:uiPriority w:val="9"/>
    <w:semiHidden/>
    <w:unhideWhenUsed/>
    <w:qFormat/>
    <w:pPr>
      <w:keepNext/>
      <w:keepLines/>
      <w:spacing w:before="240" w:after="40"/>
      <w:outlineLvl w:val="3"/>
    </w:pPr>
    <w:rPr>
      <w:b/>
      <w:bCs/>
      <w:sz w:val="24"/>
      <w:szCs w:val="24"/>
    </w:rPr>
  </w:style>
  <w:style w:type="paragraph" w:styleId="Kop5">
    <w:name w:val="heading 5"/>
    <w:basedOn w:val="Standaard"/>
    <w:next w:val="Standaard"/>
    <w:uiPriority w:val="9"/>
    <w:semiHidden/>
    <w:unhideWhenUsed/>
    <w:qFormat/>
    <w:pPr>
      <w:keepNext/>
      <w:keepLines/>
      <w:spacing w:before="220" w:after="40"/>
      <w:outlineLvl w:val="4"/>
    </w:pPr>
    <w:rPr>
      <w:b/>
      <w:bCs/>
    </w:rPr>
  </w:style>
  <w:style w:type="paragraph" w:styleId="Kop6">
    <w:name w:val="heading 6"/>
    <w:basedOn w:val="Standaard"/>
    <w:next w:val="Standaard"/>
    <w:uiPriority w:val="9"/>
    <w:semiHidden/>
    <w:unhideWhenUsed/>
    <w:qFormat/>
    <w:pPr>
      <w:keepNext/>
      <w:keepLines/>
      <w:spacing w:before="200" w:after="40"/>
      <w:outlineLvl w:val="5"/>
    </w:pPr>
    <w:rPr>
      <w:b/>
      <w:bCs/>
      <w:sz w:val="20"/>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keepNext/>
      <w:keepLines/>
      <w:spacing w:before="480" w:after="120"/>
    </w:pPr>
    <w:rPr>
      <w:b/>
      <w:bCs/>
      <w:sz w:val="72"/>
      <w:szCs w:val="72"/>
    </w:rPr>
  </w:style>
  <w:style w:type="paragraph" w:styleId="Koptekst">
    <w:name w:val="header"/>
    <w:basedOn w:val="Standaard"/>
    <w:link w:val="KoptekstChar"/>
    <w:uiPriority w:val="99"/>
    <w:unhideWhenUsed/>
    <w:rsid w:val="000B473B"/>
    <w:pPr>
      <w:tabs>
        <w:tab w:val="center" w:pos="4513"/>
        <w:tab w:val="right" w:pos="9026"/>
      </w:tabs>
    </w:pPr>
  </w:style>
  <w:style w:type="character" w:customStyle="1" w:styleId="KoptekstChar">
    <w:name w:val="Koptekst Char"/>
    <w:basedOn w:val="Standaardalinea-lettertype"/>
    <w:link w:val="Koptekst"/>
    <w:uiPriority w:val="99"/>
    <w:rsid w:val="000B473B"/>
    <w:rPr>
      <w:rFonts w:cs="Arial"/>
    </w:rPr>
  </w:style>
  <w:style w:type="paragraph" w:styleId="Voettekst">
    <w:name w:val="footer"/>
    <w:basedOn w:val="Standaard"/>
    <w:link w:val="VoettekstChar"/>
    <w:uiPriority w:val="99"/>
    <w:unhideWhenUsed/>
    <w:rsid w:val="000B473B"/>
    <w:pPr>
      <w:tabs>
        <w:tab w:val="center" w:pos="4513"/>
        <w:tab w:val="right" w:pos="9026"/>
      </w:tabs>
    </w:pPr>
  </w:style>
  <w:style w:type="character" w:customStyle="1" w:styleId="VoettekstChar">
    <w:name w:val="Voettekst Char"/>
    <w:basedOn w:val="Standaardalinea-lettertype"/>
    <w:link w:val="Voettekst"/>
    <w:uiPriority w:val="99"/>
    <w:rsid w:val="000B473B"/>
    <w:rPr>
      <w:rFonts w:cs="Arial"/>
    </w:rPr>
  </w:style>
  <w:style w:type="paragraph" w:styleId="Ballontekst">
    <w:name w:val="Balloon Text"/>
    <w:basedOn w:val="Standaard"/>
    <w:link w:val="BallontekstChar"/>
    <w:uiPriority w:val="99"/>
    <w:semiHidden/>
    <w:unhideWhenUsed/>
    <w:rsid w:val="000B473B"/>
    <w:rPr>
      <w:rFonts w:ascii="Tahoma" w:hAnsi="Tahoma" w:cs="Tahoma"/>
      <w:sz w:val="16"/>
      <w:szCs w:val="16"/>
    </w:rPr>
  </w:style>
  <w:style w:type="character" w:customStyle="1" w:styleId="BallontekstChar">
    <w:name w:val="Ballontekst Char"/>
    <w:basedOn w:val="Standaardalinea-lettertype"/>
    <w:link w:val="Ballontekst"/>
    <w:uiPriority w:val="99"/>
    <w:semiHidden/>
    <w:rsid w:val="000B473B"/>
    <w:rPr>
      <w:rFonts w:ascii="Tahoma" w:hAnsi="Tahoma" w:cs="Tahoma"/>
      <w:sz w:val="16"/>
      <w:szCs w:val="16"/>
    </w:rPr>
  </w:style>
  <w:style w:type="table" w:styleId="Tabelraster">
    <w:name w:val="Table Grid"/>
    <w:basedOn w:val="Standaardtabel"/>
    <w:uiPriority w:val="59"/>
    <w:rsid w:val="00E172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172C6"/>
    <w:pPr>
      <w:ind w:left="720"/>
      <w:contextualSpacing/>
    </w:pPr>
  </w:style>
  <w:style w:type="paragraph" w:customStyle="1" w:styleId="EndNoteBibliographyTitle">
    <w:name w:val="EndNote Bibliography Title"/>
    <w:basedOn w:val="Standaard"/>
    <w:link w:val="EndNoteBibliographyTitleChar"/>
    <w:rsid w:val="00C23FD8"/>
    <w:pPr>
      <w:jc w:val="center"/>
    </w:pPr>
    <w:rPr>
      <w:noProof/>
      <w:lang w:val="en-US"/>
    </w:rPr>
  </w:style>
  <w:style w:type="character" w:customStyle="1" w:styleId="EndNoteBibliographyTitleChar">
    <w:name w:val="EndNote Bibliography Title Char"/>
    <w:basedOn w:val="Standaardalinea-lettertype"/>
    <w:link w:val="EndNoteBibliographyTitle"/>
    <w:rsid w:val="00C23FD8"/>
    <w:rPr>
      <w:rFonts w:ascii="Calibri" w:hAnsi="Calibri" w:cs="Calibri"/>
      <w:noProof/>
      <w:lang w:val="en-US"/>
    </w:rPr>
  </w:style>
  <w:style w:type="paragraph" w:customStyle="1" w:styleId="EndNoteBibliography">
    <w:name w:val="EndNote Bibliography"/>
    <w:basedOn w:val="Standaard"/>
    <w:link w:val="EndNoteBibliographyChar"/>
    <w:rsid w:val="00C23FD8"/>
    <w:rPr>
      <w:noProof/>
      <w:lang w:val="en-US"/>
    </w:rPr>
  </w:style>
  <w:style w:type="character" w:customStyle="1" w:styleId="EndNoteBibliographyChar">
    <w:name w:val="EndNote Bibliography Char"/>
    <w:basedOn w:val="Standaardalinea-lettertype"/>
    <w:link w:val="EndNoteBibliography"/>
    <w:rsid w:val="00C23FD8"/>
    <w:rPr>
      <w:rFonts w:ascii="Calibri" w:hAnsi="Calibri" w:cs="Calibri"/>
      <w:noProof/>
      <w:lang w:val="en-US"/>
    </w:rPr>
  </w:style>
  <w:style w:type="paragraph" w:styleId="Ondertitel">
    <w:name w:val="Subtitle"/>
    <w:basedOn w:val="Standaard"/>
    <w:next w:val="Standaard"/>
    <w:uiPriority w:val="11"/>
    <w:qFormat/>
    <w:pPr>
      <w:keepNext/>
      <w:keepLines/>
      <w:spacing w:before="360" w:after="80"/>
    </w:pPr>
    <w:rPr>
      <w:rFonts w:ascii="Georgia" w:eastAsia="Georgia" w:hAnsi="Georgia" w:cs="Georgia"/>
      <w:i/>
      <w:iCs/>
      <w:color w:val="666666"/>
      <w:sz w:val="48"/>
      <w:szCs w:val="48"/>
    </w:rPr>
  </w:style>
  <w:style w:type="table" w:customStyle="1" w:styleId="a">
    <w:basedOn w:val="Standaardtabel"/>
    <w:tblPr>
      <w:tblStyleRowBandSize w:val="1"/>
      <w:tblStyleColBandSize w:val="1"/>
    </w:tblPr>
  </w:style>
  <w:style w:type="table" w:customStyle="1" w:styleId="a0">
    <w:basedOn w:val="Standaardtabel"/>
    <w:tblPr>
      <w:tblStyleRowBandSize w:val="1"/>
      <w:tblStyleColBandSize w:val="1"/>
    </w:tblPr>
  </w:style>
  <w:style w:type="table" w:customStyle="1" w:styleId="a1">
    <w:basedOn w:val="Standaardtabel"/>
    <w:tblPr>
      <w:tblStyleRowBandSize w:val="1"/>
      <w:tblStyleColBandSize w:val="1"/>
    </w:tblPr>
  </w:style>
  <w:style w:type="table" w:customStyle="1" w:styleId="a2">
    <w:basedOn w:val="Standaardtabel"/>
    <w:tblPr>
      <w:tblStyleRowBandSize w:val="1"/>
      <w:tblStyleColBandSize w:val="1"/>
    </w:tblPr>
  </w:style>
  <w:style w:type="paragraph" w:styleId="Tekstopmerking">
    <w:name w:val="annotation text"/>
    <w:basedOn w:val="Standaard"/>
    <w:link w:val="TekstopmerkingChar"/>
    <w:uiPriority w:val="99"/>
    <w:semiHidden/>
    <w:unhideWhenUsed/>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character" w:styleId="Hyperlink">
    <w:name w:val="Hyperlink"/>
    <w:basedOn w:val="Standaardalinea-lettertype"/>
    <w:uiPriority w:val="99"/>
    <w:unhideWhenUsed/>
    <w:rsid w:val="00F07FAE"/>
    <w:rPr>
      <w:color w:val="0000FF" w:themeColor="hyperlink"/>
      <w:u w:val="single"/>
    </w:rPr>
  </w:style>
  <w:style w:type="character" w:styleId="Onopgelostemelding">
    <w:name w:val="Unresolved Mention"/>
    <w:basedOn w:val="Standaardalinea-lettertype"/>
    <w:uiPriority w:val="99"/>
    <w:semiHidden/>
    <w:unhideWhenUsed/>
    <w:rsid w:val="00F07F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nl.wikipedia.org/wiki/Gen" TargetMode="Externa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chemeClr val="tx1"/>
          </a:solidFill>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pXAebKsmlG3jFFA+4QFv3O8u1A==">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486</Words>
  <Characters>2678</Characters>
  <Application>Microsoft Office Word</Application>
  <DocSecurity>0</DocSecurity>
  <Lines>22</Lines>
  <Paragraphs>6</Paragraphs>
  <ScaleCrop>false</ScaleCrop>
  <Company/>
  <LinksUpToDate>false</LinksUpToDate>
  <CharactersWithSpaces>3158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Joska de Kroon</cp:lastModifiedBy>
  <cp:revision>5</cp:revision>
  <dcterms:created xsi:type="dcterms:W3CDTF">2018-12-18T18:35:00Z</dcterms:created>
  <dcterms:modified xsi:type="dcterms:W3CDTF">2026-01-07T16:30:00Z</dcterms:modified>
</cp:coreProperties>
</file>