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F2703" w14:textId="77777777" w:rsidR="00727EDC" w:rsidRPr="00727EDC" w:rsidRDefault="00727EDC" w:rsidP="00543181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14:paraId="6210DD78" w14:textId="08BFEFA7" w:rsidR="00727EDC" w:rsidRPr="00727EDC" w:rsidRDefault="00727EDC" w:rsidP="00543181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 w:rsidRPr="00727EDC">
        <w:rPr>
          <w:rFonts w:ascii="Arial" w:eastAsia="Times New Roman" w:hAnsi="Arial" w:cs="Arial"/>
          <w:b/>
          <w:bCs/>
          <w:sz w:val="24"/>
          <w:szCs w:val="24"/>
          <w:lang w:eastAsia="nl-NL"/>
        </w:rPr>
        <w:t xml:space="preserve">Politieke Graadmeter </w:t>
      </w:r>
    </w:p>
    <w:p w14:paraId="75D3273D" w14:textId="77777777" w:rsidR="00727EDC" w:rsidRDefault="00727EDC" w:rsidP="0054318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280F2D99" w14:textId="0BE3E893" w:rsidR="006B5A18" w:rsidRPr="00CE2AB1" w:rsidRDefault="005C5D6C" w:rsidP="0054318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CE2AB1">
        <w:rPr>
          <w:rFonts w:ascii="Arial" w:eastAsia="Times New Roman" w:hAnsi="Arial" w:cs="Arial"/>
          <w:sz w:val="24"/>
          <w:szCs w:val="24"/>
          <w:lang w:eastAsia="nl-NL"/>
        </w:rPr>
        <w:t>Naam leerling:</w:t>
      </w:r>
      <w:r w:rsidR="00687B06" w:rsidRPr="00CE2AB1">
        <w:rPr>
          <w:rFonts w:ascii="Arial" w:eastAsia="Times New Roman" w:hAnsi="Arial" w:cs="Arial"/>
          <w:sz w:val="24"/>
          <w:szCs w:val="24"/>
          <w:lang w:eastAsia="nl-NL"/>
        </w:rPr>
        <w:t>…………………………………………………………………</w:t>
      </w:r>
      <w:r w:rsidR="00727EDC">
        <w:rPr>
          <w:rFonts w:ascii="Arial" w:eastAsia="Times New Roman" w:hAnsi="Arial" w:cs="Arial"/>
          <w:sz w:val="24"/>
          <w:szCs w:val="24"/>
          <w:lang w:eastAsia="nl-NL"/>
        </w:rPr>
        <w:t>………………</w:t>
      </w:r>
    </w:p>
    <w:p w14:paraId="6ABC478F" w14:textId="77777777" w:rsidR="0053630E" w:rsidRPr="00CE2AB1" w:rsidRDefault="0053630E" w:rsidP="0054318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69550991" w14:textId="09188000" w:rsidR="005C5D6C" w:rsidRPr="00CE2AB1" w:rsidRDefault="005C5D6C" w:rsidP="0054318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CE2AB1">
        <w:rPr>
          <w:rFonts w:ascii="Arial" w:eastAsia="Times New Roman" w:hAnsi="Arial" w:cs="Arial"/>
          <w:sz w:val="24"/>
          <w:szCs w:val="24"/>
          <w:lang w:eastAsia="nl-NL"/>
        </w:rPr>
        <w:t>Klas:</w:t>
      </w:r>
      <w:r w:rsidR="00687B06" w:rsidRPr="00CE2AB1">
        <w:rPr>
          <w:rFonts w:ascii="Arial" w:eastAsia="Times New Roman" w:hAnsi="Arial" w:cs="Arial"/>
          <w:sz w:val="24"/>
          <w:szCs w:val="24"/>
          <w:lang w:eastAsia="nl-NL"/>
        </w:rPr>
        <w:t>……………………………………………………………………………...</w:t>
      </w:r>
      <w:r w:rsidR="00727EDC">
        <w:rPr>
          <w:rFonts w:ascii="Arial" w:eastAsia="Times New Roman" w:hAnsi="Arial" w:cs="Arial"/>
          <w:sz w:val="24"/>
          <w:szCs w:val="24"/>
          <w:lang w:eastAsia="nl-NL"/>
        </w:rPr>
        <w:t>...................</w:t>
      </w:r>
    </w:p>
    <w:p w14:paraId="646FA527" w14:textId="77777777" w:rsidR="00BC4E81" w:rsidRPr="00CE2AB1" w:rsidRDefault="00BC4E81" w:rsidP="0054318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1B360FF8" w14:textId="770DEF70" w:rsidR="00BC4E81" w:rsidRPr="00CE2AB1" w:rsidRDefault="00BC4E81" w:rsidP="00543181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 w:rsidRPr="00CE2AB1">
        <w:rPr>
          <w:rFonts w:ascii="Arial" w:eastAsia="Times New Roman" w:hAnsi="Arial" w:cs="Arial"/>
          <w:sz w:val="24"/>
          <w:szCs w:val="24"/>
          <w:lang w:eastAsia="nl-NL"/>
        </w:rPr>
        <w:t>Omcirkel eerst wat voor jou van toepassing is</w:t>
      </w:r>
      <w:r w:rsidR="0053630E" w:rsidRPr="00CE2AB1">
        <w:rPr>
          <w:rFonts w:ascii="Arial" w:eastAsia="Times New Roman" w:hAnsi="Arial" w:cs="Arial"/>
          <w:sz w:val="24"/>
          <w:szCs w:val="24"/>
          <w:lang w:eastAsia="nl-NL"/>
        </w:rPr>
        <w:t>. Ik denk dat mijn politieke voorkeur ligt bij</w:t>
      </w:r>
      <w:r w:rsidR="0053630E" w:rsidRPr="00CE2AB1">
        <w:rPr>
          <w:rFonts w:ascii="Arial" w:eastAsia="Times New Roman" w:hAnsi="Arial" w:cs="Arial"/>
          <w:b/>
          <w:bCs/>
          <w:sz w:val="24"/>
          <w:szCs w:val="24"/>
          <w:lang w:eastAsia="nl-NL"/>
        </w:rPr>
        <w:t xml:space="preserve">: linkse partijen – middenpartijen – rechtse partijen. </w:t>
      </w:r>
    </w:p>
    <w:p w14:paraId="59CE42D9" w14:textId="77777777" w:rsidR="0053630E" w:rsidRPr="00CE2AB1" w:rsidRDefault="0053630E" w:rsidP="00543181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14:paraId="7EACB91E" w14:textId="3C7F58D8" w:rsidR="00543181" w:rsidRPr="00543181" w:rsidRDefault="00430622" w:rsidP="0054318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CE2AB1">
        <w:rPr>
          <w:rFonts w:ascii="Arial" w:eastAsia="Times New Roman" w:hAnsi="Arial" w:cs="Arial"/>
          <w:sz w:val="24"/>
          <w:szCs w:val="24"/>
          <w:lang w:eastAsia="nl-NL"/>
        </w:rPr>
        <w:t>Vul nu onderstaande tabel in. Geef steeds aan</w:t>
      </w:r>
      <w:r w:rsidR="004D262B" w:rsidRPr="00CE2AB1">
        <w:rPr>
          <w:rFonts w:ascii="Arial" w:eastAsia="Times New Roman" w:hAnsi="Arial" w:cs="Arial"/>
          <w:sz w:val="24"/>
          <w:szCs w:val="24"/>
          <w:lang w:eastAsia="nl-NL"/>
        </w:rPr>
        <w:t xml:space="preserve"> of je het met de stelling ‘eens’ of ‘oneens’ bent.  Kies alleen voor ‘eens’</w:t>
      </w:r>
      <w:r w:rsidR="0056537B" w:rsidRPr="00CE2AB1">
        <w:rPr>
          <w:rFonts w:ascii="Arial" w:eastAsia="Times New Roman" w:hAnsi="Arial" w:cs="Arial"/>
          <w:sz w:val="24"/>
          <w:szCs w:val="24"/>
          <w:lang w:eastAsia="nl-NL"/>
        </w:rPr>
        <w:t xml:space="preserve"> als jet het met de hele stelling eens bent. </w:t>
      </w:r>
    </w:p>
    <w:tbl>
      <w:tblPr>
        <w:tblStyle w:val="Tabelraster"/>
        <w:tblW w:w="9634" w:type="dxa"/>
        <w:tblLook w:val="04A0" w:firstRow="1" w:lastRow="0" w:firstColumn="1" w:lastColumn="0" w:noHBand="0" w:noVBand="1"/>
      </w:tblPr>
      <w:tblGrid>
        <w:gridCol w:w="5883"/>
        <w:gridCol w:w="1342"/>
        <w:gridCol w:w="1134"/>
        <w:gridCol w:w="1275"/>
      </w:tblGrid>
      <w:tr w:rsidR="002A3C71" w:rsidRPr="00543181" w14:paraId="5CBEA353" w14:textId="1DF1F4D7" w:rsidTr="002A3C71">
        <w:tc>
          <w:tcPr>
            <w:tcW w:w="5883" w:type="dxa"/>
          </w:tcPr>
          <w:p w14:paraId="7E5CE859" w14:textId="77777777" w:rsidR="002A3C71" w:rsidRPr="00CE2AB1" w:rsidRDefault="002A3C71" w:rsidP="002A3C71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CE2AB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Stelling</w:t>
            </w:r>
          </w:p>
        </w:tc>
        <w:tc>
          <w:tcPr>
            <w:tcW w:w="1342" w:type="dxa"/>
          </w:tcPr>
          <w:p w14:paraId="4D4A9505" w14:textId="67A9AD28" w:rsidR="002A3C71" w:rsidRPr="00CE2AB1" w:rsidRDefault="002A3C71" w:rsidP="002A3C71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CE2AB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Eens</w:t>
            </w:r>
          </w:p>
        </w:tc>
        <w:tc>
          <w:tcPr>
            <w:tcW w:w="1134" w:type="dxa"/>
          </w:tcPr>
          <w:p w14:paraId="4143AFDE" w14:textId="4D89AF25" w:rsidR="002A3C71" w:rsidRPr="00CE2AB1" w:rsidRDefault="002A3C71" w:rsidP="002A3C71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CE2AB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Oneens</w:t>
            </w:r>
          </w:p>
        </w:tc>
        <w:tc>
          <w:tcPr>
            <w:tcW w:w="1275" w:type="dxa"/>
          </w:tcPr>
          <w:p w14:paraId="664AACA7" w14:textId="077D0867" w:rsidR="002A3C71" w:rsidRPr="00CE2AB1" w:rsidRDefault="002A3C71" w:rsidP="002A3C71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CE2AB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Aantal punten</w:t>
            </w:r>
          </w:p>
        </w:tc>
      </w:tr>
      <w:tr w:rsidR="002A3C71" w:rsidRPr="00543181" w14:paraId="52CD8002" w14:textId="037FD02D" w:rsidTr="002A3C71">
        <w:tc>
          <w:tcPr>
            <w:tcW w:w="5883" w:type="dxa"/>
          </w:tcPr>
          <w:p w14:paraId="188C9287" w14:textId="6B3FD49B" w:rsidR="002A3C71" w:rsidRPr="00CE2AB1" w:rsidRDefault="00EB2D50" w:rsidP="002A3C71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CE2AB1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Uitkeringen, zoals de bijstand, zijn in ons land veel te hoog. </w:t>
            </w:r>
          </w:p>
        </w:tc>
        <w:tc>
          <w:tcPr>
            <w:tcW w:w="1342" w:type="dxa"/>
          </w:tcPr>
          <w:p w14:paraId="63DE03AE" w14:textId="77777777" w:rsidR="002A3C71" w:rsidRPr="00CE2AB1" w:rsidRDefault="002A3C71" w:rsidP="002A3C7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14:paraId="574024B8" w14:textId="77777777" w:rsidR="002A3C71" w:rsidRPr="00CE2AB1" w:rsidRDefault="002A3C71" w:rsidP="002A3C7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75" w:type="dxa"/>
          </w:tcPr>
          <w:p w14:paraId="5961F8E8" w14:textId="77777777" w:rsidR="002A3C71" w:rsidRPr="00CE2AB1" w:rsidRDefault="002A3C71" w:rsidP="002A3C7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2A3C71" w:rsidRPr="00543181" w14:paraId="02993441" w14:textId="02F3D499" w:rsidTr="002A3C71">
        <w:tc>
          <w:tcPr>
            <w:tcW w:w="5883" w:type="dxa"/>
          </w:tcPr>
          <w:p w14:paraId="30B4AC69" w14:textId="0F40931D" w:rsidR="002A3C71" w:rsidRPr="00CE2AB1" w:rsidRDefault="002A3C71" w:rsidP="002A3C71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CE2AB1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Hulp aan ontwikkelingslanden moet worden </w:t>
            </w:r>
            <w:r w:rsidR="0056537B" w:rsidRPr="00CE2AB1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uitgebreid. </w:t>
            </w:r>
          </w:p>
        </w:tc>
        <w:tc>
          <w:tcPr>
            <w:tcW w:w="1342" w:type="dxa"/>
          </w:tcPr>
          <w:p w14:paraId="1E471043" w14:textId="77777777" w:rsidR="002A3C71" w:rsidRPr="00CE2AB1" w:rsidRDefault="002A3C71" w:rsidP="002A3C7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14:paraId="2747A532" w14:textId="77777777" w:rsidR="002A3C71" w:rsidRPr="00CE2AB1" w:rsidRDefault="002A3C71" w:rsidP="002A3C7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75" w:type="dxa"/>
          </w:tcPr>
          <w:p w14:paraId="5F2F940C" w14:textId="77777777" w:rsidR="002A3C71" w:rsidRPr="00CE2AB1" w:rsidRDefault="002A3C71" w:rsidP="002A3C7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2A3C71" w:rsidRPr="00543181" w14:paraId="7BE1BE99" w14:textId="4133872A" w:rsidTr="002A3C71">
        <w:tc>
          <w:tcPr>
            <w:tcW w:w="5883" w:type="dxa"/>
          </w:tcPr>
          <w:p w14:paraId="4A7640DC" w14:textId="38B15F7B" w:rsidR="002A3C71" w:rsidRPr="00CE2AB1" w:rsidRDefault="002A3C71" w:rsidP="002A3C71">
            <w:pPr>
              <w:pStyle w:val="Lijstalinea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E2AB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Grote verschillen tussen inkomens zijn goed, want ze prikkelen mensen om harder te werken.</w:t>
            </w:r>
          </w:p>
        </w:tc>
        <w:tc>
          <w:tcPr>
            <w:tcW w:w="1342" w:type="dxa"/>
          </w:tcPr>
          <w:p w14:paraId="35A307F3" w14:textId="77777777" w:rsidR="002A3C71" w:rsidRPr="00CE2AB1" w:rsidRDefault="002A3C71" w:rsidP="002A3C7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14:paraId="4A74BF75" w14:textId="77777777" w:rsidR="002A3C71" w:rsidRPr="00CE2AB1" w:rsidRDefault="002A3C71" w:rsidP="002A3C7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75" w:type="dxa"/>
          </w:tcPr>
          <w:p w14:paraId="70D51C9D" w14:textId="77777777" w:rsidR="002A3C71" w:rsidRPr="00CE2AB1" w:rsidRDefault="002A3C71" w:rsidP="002A3C7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2A3C71" w:rsidRPr="00543181" w14:paraId="5C811C7B" w14:textId="0F09FF1D" w:rsidTr="002A3C71">
        <w:tc>
          <w:tcPr>
            <w:tcW w:w="5883" w:type="dxa"/>
          </w:tcPr>
          <w:p w14:paraId="1E59DE48" w14:textId="77777777" w:rsidR="002A3C71" w:rsidRPr="00CE2AB1" w:rsidRDefault="002A3C71" w:rsidP="002A3C71">
            <w:pPr>
              <w:pStyle w:val="Lijstalinea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E2AB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Werklozen moeten, desnoods voor langere tijd, werk onder hun opleidingsniveau aanvaarden.</w:t>
            </w:r>
          </w:p>
        </w:tc>
        <w:tc>
          <w:tcPr>
            <w:tcW w:w="1342" w:type="dxa"/>
          </w:tcPr>
          <w:p w14:paraId="78B13CCE" w14:textId="77777777" w:rsidR="002A3C71" w:rsidRPr="00CE2AB1" w:rsidRDefault="002A3C71" w:rsidP="002A3C7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14:paraId="4276A412" w14:textId="77777777" w:rsidR="002A3C71" w:rsidRPr="00CE2AB1" w:rsidRDefault="002A3C71" w:rsidP="002A3C7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75" w:type="dxa"/>
          </w:tcPr>
          <w:p w14:paraId="0D8CB9F4" w14:textId="77777777" w:rsidR="002A3C71" w:rsidRPr="00CE2AB1" w:rsidRDefault="002A3C71" w:rsidP="002A3C7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2A3C71" w:rsidRPr="00543181" w14:paraId="15BB05B4" w14:textId="47A5BC56" w:rsidTr="002A3C71">
        <w:tc>
          <w:tcPr>
            <w:tcW w:w="5883" w:type="dxa"/>
          </w:tcPr>
          <w:p w14:paraId="602E81A2" w14:textId="2CA9BEFD" w:rsidR="002A3C71" w:rsidRPr="00CE2AB1" w:rsidRDefault="002A3C71" w:rsidP="002A3C71">
            <w:pPr>
              <w:pStyle w:val="Lijstalinea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E2AB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Ons land heeft te veel bestuurders en ambtenaren.</w:t>
            </w:r>
            <w:r w:rsidR="00E80FC3" w:rsidRPr="00CE2AB1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</w:t>
            </w:r>
            <w:r w:rsidRPr="00CE2AB1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Een kwart van hen kan </w:t>
            </w:r>
            <w:r w:rsidR="00E80FC3" w:rsidRPr="00CE2AB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verdwijnen.</w:t>
            </w:r>
          </w:p>
        </w:tc>
        <w:tc>
          <w:tcPr>
            <w:tcW w:w="1342" w:type="dxa"/>
          </w:tcPr>
          <w:p w14:paraId="733013B7" w14:textId="77777777" w:rsidR="002A3C71" w:rsidRPr="00CE2AB1" w:rsidRDefault="002A3C71" w:rsidP="002A3C7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14:paraId="16715AF4" w14:textId="77777777" w:rsidR="002A3C71" w:rsidRPr="00CE2AB1" w:rsidRDefault="002A3C71" w:rsidP="002A3C7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75" w:type="dxa"/>
          </w:tcPr>
          <w:p w14:paraId="3C3718E4" w14:textId="77777777" w:rsidR="002A3C71" w:rsidRPr="00CE2AB1" w:rsidRDefault="002A3C71" w:rsidP="002A3C7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2A3C71" w:rsidRPr="00543181" w14:paraId="797F914D" w14:textId="328DEBCC" w:rsidTr="002A3C71">
        <w:tc>
          <w:tcPr>
            <w:tcW w:w="5883" w:type="dxa"/>
          </w:tcPr>
          <w:p w14:paraId="3CEBF9B0" w14:textId="77777777" w:rsidR="002A3C71" w:rsidRPr="00CE2AB1" w:rsidRDefault="002A3C71" w:rsidP="002A3C71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CE2AB1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Vanwege hun achterstand op de arbeidsmarkt </w:t>
            </w:r>
          </w:p>
          <w:p w14:paraId="43D6A45D" w14:textId="376BC558" w:rsidR="002A3C71" w:rsidRPr="00CE2AB1" w:rsidRDefault="002A3C71" w:rsidP="002A3C71">
            <w:pPr>
              <w:pStyle w:val="Lijstalinea"/>
              <w:ind w:left="462"/>
              <w:rPr>
                <w:rFonts w:ascii="Arial" w:hAnsi="Arial" w:cs="Arial"/>
                <w:sz w:val="24"/>
                <w:szCs w:val="24"/>
              </w:rPr>
            </w:pPr>
            <w:r w:rsidRPr="00CE2AB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moeten vrouwen bij sollicitaties zo veel mogelijk voorrang krijgen bij gelijke geschiktheid.</w:t>
            </w:r>
          </w:p>
        </w:tc>
        <w:tc>
          <w:tcPr>
            <w:tcW w:w="1342" w:type="dxa"/>
          </w:tcPr>
          <w:p w14:paraId="1C6C4BF2" w14:textId="77777777" w:rsidR="002A3C71" w:rsidRPr="00CE2AB1" w:rsidRDefault="002A3C71" w:rsidP="002A3C7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14:paraId="01AA3352" w14:textId="77777777" w:rsidR="002A3C71" w:rsidRPr="00CE2AB1" w:rsidRDefault="002A3C71" w:rsidP="002A3C7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75" w:type="dxa"/>
          </w:tcPr>
          <w:p w14:paraId="099BAEB4" w14:textId="77777777" w:rsidR="002A3C71" w:rsidRPr="00CE2AB1" w:rsidRDefault="002A3C71" w:rsidP="002A3C7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2A3C71" w:rsidRPr="00543181" w14:paraId="01D4BB96" w14:textId="0BACEDE8" w:rsidTr="002A3C71">
        <w:tc>
          <w:tcPr>
            <w:tcW w:w="5883" w:type="dxa"/>
          </w:tcPr>
          <w:p w14:paraId="2DF61FE0" w14:textId="77777777" w:rsidR="002A3C71" w:rsidRPr="00CE2AB1" w:rsidRDefault="002A3C71" w:rsidP="002A3C71">
            <w:pPr>
              <w:pStyle w:val="Lijstalinea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E2AB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De overheid moet huurders van woningen zo veel mogelijk beschermen, ook al is dat soms nadelig voor de eigenaar.</w:t>
            </w:r>
          </w:p>
        </w:tc>
        <w:tc>
          <w:tcPr>
            <w:tcW w:w="1342" w:type="dxa"/>
          </w:tcPr>
          <w:p w14:paraId="56319EC7" w14:textId="77777777" w:rsidR="002A3C71" w:rsidRPr="00CE2AB1" w:rsidRDefault="002A3C71" w:rsidP="002A3C7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14:paraId="48A5204B" w14:textId="77777777" w:rsidR="002A3C71" w:rsidRPr="00CE2AB1" w:rsidRDefault="002A3C71" w:rsidP="002A3C7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75" w:type="dxa"/>
          </w:tcPr>
          <w:p w14:paraId="042F99FA" w14:textId="77777777" w:rsidR="002A3C71" w:rsidRPr="00CE2AB1" w:rsidRDefault="002A3C71" w:rsidP="002A3C7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2A3C71" w:rsidRPr="00543181" w14:paraId="438C9418" w14:textId="11C32855" w:rsidTr="002A3C71">
        <w:tc>
          <w:tcPr>
            <w:tcW w:w="5883" w:type="dxa"/>
          </w:tcPr>
          <w:p w14:paraId="592D10E7" w14:textId="77777777" w:rsidR="002A3C71" w:rsidRPr="00CE2AB1" w:rsidRDefault="002A3C71" w:rsidP="002A3C71">
            <w:pPr>
              <w:pStyle w:val="Lijstalinea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E2AB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De pensioengerechtigde leeftijd moet zo snel mogelijk naar 68 jaar.</w:t>
            </w:r>
          </w:p>
        </w:tc>
        <w:tc>
          <w:tcPr>
            <w:tcW w:w="1342" w:type="dxa"/>
          </w:tcPr>
          <w:p w14:paraId="30EE5C97" w14:textId="77777777" w:rsidR="002A3C71" w:rsidRPr="00CE2AB1" w:rsidRDefault="002A3C71" w:rsidP="002A3C7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14:paraId="4362E233" w14:textId="77777777" w:rsidR="002A3C71" w:rsidRPr="00CE2AB1" w:rsidRDefault="002A3C71" w:rsidP="002A3C7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75" w:type="dxa"/>
          </w:tcPr>
          <w:p w14:paraId="06EF0579" w14:textId="77777777" w:rsidR="002A3C71" w:rsidRPr="00CE2AB1" w:rsidRDefault="002A3C71" w:rsidP="002A3C7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2A3C71" w:rsidRPr="00543181" w14:paraId="685AA868" w14:textId="630B00DC" w:rsidTr="002A3C71">
        <w:tc>
          <w:tcPr>
            <w:tcW w:w="5883" w:type="dxa"/>
          </w:tcPr>
          <w:p w14:paraId="031A4732" w14:textId="1EC587D7" w:rsidR="002A3C71" w:rsidRPr="00CE2AB1" w:rsidRDefault="002A3C71" w:rsidP="002A3C71">
            <w:pPr>
              <w:pStyle w:val="Lijstalinea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E2AB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Een vrij ondernemersklimaat (werknemers makkelijk kunnen ontslaan en er is g</w:t>
            </w:r>
            <w:r w:rsidR="005058F3" w:rsidRPr="00CE2AB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éé</w:t>
            </w:r>
            <w:r w:rsidRPr="00CE2AB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n minimum loon) is noodzakelijk voor een sterke economie.</w:t>
            </w:r>
          </w:p>
        </w:tc>
        <w:tc>
          <w:tcPr>
            <w:tcW w:w="1342" w:type="dxa"/>
          </w:tcPr>
          <w:p w14:paraId="222A00EA" w14:textId="77777777" w:rsidR="002A3C71" w:rsidRPr="00CE2AB1" w:rsidRDefault="002A3C71" w:rsidP="002A3C7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14:paraId="4071C9E2" w14:textId="77777777" w:rsidR="002A3C71" w:rsidRPr="00CE2AB1" w:rsidRDefault="002A3C71" w:rsidP="002A3C7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75" w:type="dxa"/>
          </w:tcPr>
          <w:p w14:paraId="382CE791" w14:textId="77777777" w:rsidR="002A3C71" w:rsidRPr="00CE2AB1" w:rsidRDefault="002A3C71" w:rsidP="002A3C7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2A3C71" w:rsidRPr="00543181" w14:paraId="6AE9E337" w14:textId="3A65D76A" w:rsidTr="002A3C71">
        <w:tc>
          <w:tcPr>
            <w:tcW w:w="5883" w:type="dxa"/>
          </w:tcPr>
          <w:p w14:paraId="78FB9EA8" w14:textId="77777777" w:rsidR="002A3C71" w:rsidRPr="00CE2AB1" w:rsidRDefault="002A3C71" w:rsidP="002A3C71">
            <w:pPr>
              <w:pStyle w:val="Lijstalinea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E2AB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Het is onacceptabel dat bankdirecteuren miljoenen aan bonussen ontvangen.</w:t>
            </w:r>
          </w:p>
        </w:tc>
        <w:tc>
          <w:tcPr>
            <w:tcW w:w="1342" w:type="dxa"/>
          </w:tcPr>
          <w:p w14:paraId="68027D0D" w14:textId="77777777" w:rsidR="002A3C71" w:rsidRPr="00CE2AB1" w:rsidRDefault="002A3C71" w:rsidP="002A3C7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14:paraId="42845CD3" w14:textId="77777777" w:rsidR="002A3C71" w:rsidRPr="00CE2AB1" w:rsidRDefault="002A3C71" w:rsidP="002A3C7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75" w:type="dxa"/>
          </w:tcPr>
          <w:p w14:paraId="7005D446" w14:textId="77777777" w:rsidR="002A3C71" w:rsidRPr="00CE2AB1" w:rsidRDefault="002A3C71" w:rsidP="002A3C7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2A3C71" w:rsidRPr="00543181" w14:paraId="208EA82F" w14:textId="39ACFFE5" w:rsidTr="002A3C71">
        <w:tc>
          <w:tcPr>
            <w:tcW w:w="5883" w:type="dxa"/>
          </w:tcPr>
          <w:p w14:paraId="29BEA9A5" w14:textId="5F42344E" w:rsidR="002A3C71" w:rsidRPr="00CE2AB1" w:rsidRDefault="002A3C71" w:rsidP="002A3C71">
            <w:pPr>
              <w:pStyle w:val="Lijstalinea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E2AB1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Als woningen of kantoren lange tijd leegstaan, moet de overheid het recht hebben </w:t>
            </w:r>
            <w:r w:rsidR="0008474B" w:rsidRPr="00CE2AB1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daarin </w:t>
            </w:r>
            <w:r w:rsidRPr="00CE2AB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woningzoekenden te huisvesten.</w:t>
            </w:r>
          </w:p>
        </w:tc>
        <w:tc>
          <w:tcPr>
            <w:tcW w:w="1342" w:type="dxa"/>
          </w:tcPr>
          <w:p w14:paraId="127EF1BE" w14:textId="77777777" w:rsidR="002A3C71" w:rsidRPr="00CE2AB1" w:rsidRDefault="002A3C71" w:rsidP="002A3C7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14:paraId="2B0CAE7C" w14:textId="77777777" w:rsidR="002A3C71" w:rsidRPr="00CE2AB1" w:rsidRDefault="002A3C71" w:rsidP="002A3C7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75" w:type="dxa"/>
          </w:tcPr>
          <w:p w14:paraId="3CE1D91F" w14:textId="77777777" w:rsidR="002A3C71" w:rsidRPr="00CE2AB1" w:rsidRDefault="002A3C71" w:rsidP="002A3C7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2A3C71" w:rsidRPr="00543181" w14:paraId="12A54543" w14:textId="0842DFC5" w:rsidTr="002A3C71">
        <w:tc>
          <w:tcPr>
            <w:tcW w:w="5883" w:type="dxa"/>
          </w:tcPr>
          <w:p w14:paraId="1BD6E473" w14:textId="77777777" w:rsidR="002A3C71" w:rsidRPr="00CE2AB1" w:rsidRDefault="002A3C71" w:rsidP="002A3C71">
            <w:pPr>
              <w:pStyle w:val="Lijstalinea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E2AB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Het openbaar vervoer moet goedkoper worden gemaakt dan autorijden door de aanleg van snelwegen te stoppen en dat geld aan de spoorwegen te besteden.</w:t>
            </w:r>
          </w:p>
        </w:tc>
        <w:tc>
          <w:tcPr>
            <w:tcW w:w="1342" w:type="dxa"/>
          </w:tcPr>
          <w:p w14:paraId="1E06CD4C" w14:textId="77777777" w:rsidR="002A3C71" w:rsidRPr="00CE2AB1" w:rsidRDefault="002A3C71" w:rsidP="002A3C7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14:paraId="05FE94F6" w14:textId="77777777" w:rsidR="002A3C71" w:rsidRPr="00CE2AB1" w:rsidRDefault="002A3C71" w:rsidP="002A3C7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75" w:type="dxa"/>
          </w:tcPr>
          <w:p w14:paraId="088F3DD8" w14:textId="77777777" w:rsidR="002A3C71" w:rsidRPr="00CE2AB1" w:rsidRDefault="002A3C71" w:rsidP="002A3C7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2A3C71" w:rsidRPr="00543181" w14:paraId="42C27E4A" w14:textId="381A84C2" w:rsidTr="002A3C71">
        <w:tc>
          <w:tcPr>
            <w:tcW w:w="5883" w:type="dxa"/>
          </w:tcPr>
          <w:p w14:paraId="695ECF0A" w14:textId="6D4F4AED" w:rsidR="002A3C71" w:rsidRPr="00CE2AB1" w:rsidRDefault="002A3C71" w:rsidP="002A3C71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CE2AB1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De zorg- en huurtoeslag moeten worden verhoogd. (Zorgtoeslag en huurtoeslag zijn bedragen die je krijgt zodat je je zorgverzekering en huur makkelijker kunt betalen). </w:t>
            </w:r>
          </w:p>
        </w:tc>
        <w:tc>
          <w:tcPr>
            <w:tcW w:w="1342" w:type="dxa"/>
          </w:tcPr>
          <w:p w14:paraId="75399935" w14:textId="77777777" w:rsidR="002A3C71" w:rsidRPr="00CE2AB1" w:rsidRDefault="002A3C71" w:rsidP="002A3C7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14:paraId="3DB779A5" w14:textId="77777777" w:rsidR="002A3C71" w:rsidRPr="00CE2AB1" w:rsidRDefault="002A3C71" w:rsidP="002A3C7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75" w:type="dxa"/>
          </w:tcPr>
          <w:p w14:paraId="6C63D167" w14:textId="77777777" w:rsidR="002A3C71" w:rsidRPr="00CE2AB1" w:rsidRDefault="002A3C71" w:rsidP="002A3C7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2A3C71" w:rsidRPr="00543181" w14:paraId="0338AA53" w14:textId="19D36CB4" w:rsidTr="002A3C71">
        <w:tc>
          <w:tcPr>
            <w:tcW w:w="5883" w:type="dxa"/>
          </w:tcPr>
          <w:p w14:paraId="3A73C46F" w14:textId="2959664A" w:rsidR="002A3C71" w:rsidRPr="00727EDC" w:rsidRDefault="00102734" w:rsidP="00727EDC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      UITKOMST: </w:t>
            </w:r>
            <w:r w:rsidR="002A3C71" w:rsidRPr="00CE2AB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1342" w:type="dxa"/>
          </w:tcPr>
          <w:p w14:paraId="0643B137" w14:textId="45383A67" w:rsidR="002A3C71" w:rsidRPr="00CE2AB1" w:rsidRDefault="002A3C71" w:rsidP="00CA39D5">
            <w:pPr>
              <w:pStyle w:val="Lijstalinea"/>
              <w:numPr>
                <w:ilvl w:val="0"/>
                <w:numId w:val="6"/>
              </w:num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14:paraId="6DF24B1E" w14:textId="170E3341" w:rsidR="002A3C71" w:rsidRPr="00CE2AB1" w:rsidRDefault="002A3C71" w:rsidP="00CA39D5">
            <w:pPr>
              <w:pStyle w:val="Lijstalinea"/>
              <w:numPr>
                <w:ilvl w:val="0"/>
                <w:numId w:val="6"/>
              </w:num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75" w:type="dxa"/>
          </w:tcPr>
          <w:p w14:paraId="5EFE0749" w14:textId="77777777" w:rsidR="002A3C71" w:rsidRPr="00CE2AB1" w:rsidRDefault="002A3C71" w:rsidP="002A3C7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</w:tbl>
    <w:p w14:paraId="2FEADF56" w14:textId="5AA51112" w:rsidR="00102734" w:rsidRDefault="00102734"/>
    <w:sectPr w:rsidR="00A146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549CE"/>
    <w:multiLevelType w:val="hybridMultilevel"/>
    <w:tmpl w:val="C70CB54C"/>
    <w:lvl w:ilvl="0" w:tplc="C534F7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415267"/>
    <w:multiLevelType w:val="hybridMultilevel"/>
    <w:tmpl w:val="79A2989C"/>
    <w:lvl w:ilvl="0" w:tplc="97B0A80C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82" w:hanging="360"/>
      </w:pPr>
    </w:lvl>
    <w:lvl w:ilvl="2" w:tplc="0413001B" w:tentative="1">
      <w:start w:val="1"/>
      <w:numFmt w:val="lowerRoman"/>
      <w:lvlText w:val="%3."/>
      <w:lvlJc w:val="right"/>
      <w:pPr>
        <w:ind w:left="1902" w:hanging="180"/>
      </w:pPr>
    </w:lvl>
    <w:lvl w:ilvl="3" w:tplc="0413000F" w:tentative="1">
      <w:start w:val="1"/>
      <w:numFmt w:val="decimal"/>
      <w:lvlText w:val="%4."/>
      <w:lvlJc w:val="left"/>
      <w:pPr>
        <w:ind w:left="2622" w:hanging="360"/>
      </w:pPr>
    </w:lvl>
    <w:lvl w:ilvl="4" w:tplc="04130019" w:tentative="1">
      <w:start w:val="1"/>
      <w:numFmt w:val="lowerLetter"/>
      <w:lvlText w:val="%5."/>
      <w:lvlJc w:val="left"/>
      <w:pPr>
        <w:ind w:left="3342" w:hanging="360"/>
      </w:pPr>
    </w:lvl>
    <w:lvl w:ilvl="5" w:tplc="0413001B" w:tentative="1">
      <w:start w:val="1"/>
      <w:numFmt w:val="lowerRoman"/>
      <w:lvlText w:val="%6."/>
      <w:lvlJc w:val="right"/>
      <w:pPr>
        <w:ind w:left="4062" w:hanging="180"/>
      </w:pPr>
    </w:lvl>
    <w:lvl w:ilvl="6" w:tplc="0413000F" w:tentative="1">
      <w:start w:val="1"/>
      <w:numFmt w:val="decimal"/>
      <w:lvlText w:val="%7."/>
      <w:lvlJc w:val="left"/>
      <w:pPr>
        <w:ind w:left="4782" w:hanging="360"/>
      </w:pPr>
    </w:lvl>
    <w:lvl w:ilvl="7" w:tplc="04130019" w:tentative="1">
      <w:start w:val="1"/>
      <w:numFmt w:val="lowerLetter"/>
      <w:lvlText w:val="%8."/>
      <w:lvlJc w:val="left"/>
      <w:pPr>
        <w:ind w:left="5502" w:hanging="360"/>
      </w:pPr>
    </w:lvl>
    <w:lvl w:ilvl="8" w:tplc="0413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2FAF7FF7"/>
    <w:multiLevelType w:val="hybridMultilevel"/>
    <w:tmpl w:val="7F6E4466"/>
    <w:lvl w:ilvl="0" w:tplc="CC2067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45146D"/>
    <w:multiLevelType w:val="hybridMultilevel"/>
    <w:tmpl w:val="20A84FD8"/>
    <w:lvl w:ilvl="0" w:tplc="C4B85E18">
      <w:start w:val="7"/>
      <w:numFmt w:val="decimal"/>
      <w:lvlText w:val="%1."/>
      <w:lvlJc w:val="left"/>
      <w:pPr>
        <w:ind w:left="1080" w:hanging="360"/>
      </w:pPr>
      <w:rPr>
        <w:rFonts w:ascii="Arial Narrow" w:eastAsiaTheme="minorHAnsi" w:hAnsi="Arial Narrow" w:cstheme="minorBidi" w:hint="default"/>
        <w:b w:val="0"/>
        <w:color w:val="000000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93541DF"/>
    <w:multiLevelType w:val="hybridMultilevel"/>
    <w:tmpl w:val="913AD730"/>
    <w:lvl w:ilvl="0" w:tplc="97B0A80C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67555"/>
    <w:multiLevelType w:val="hybridMultilevel"/>
    <w:tmpl w:val="C8388D84"/>
    <w:lvl w:ilvl="0" w:tplc="4B2E7988">
      <w:start w:val="3"/>
      <w:numFmt w:val="decimal"/>
      <w:lvlText w:val="%1."/>
      <w:lvlJc w:val="left"/>
      <w:pPr>
        <w:ind w:left="720" w:hanging="360"/>
      </w:pPr>
      <w:rPr>
        <w:rFonts w:ascii="Arial Narrow" w:eastAsiaTheme="minorHAnsi" w:hAnsi="Arial Narrow" w:cstheme="minorBidi" w:hint="default"/>
        <w:b w:val="0"/>
        <w:color w:val="000000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0642019">
    <w:abstractNumId w:val="5"/>
  </w:num>
  <w:num w:numId="2" w16cid:durableId="1512187514">
    <w:abstractNumId w:val="3"/>
  </w:num>
  <w:num w:numId="3" w16cid:durableId="405693781">
    <w:abstractNumId w:val="1"/>
  </w:num>
  <w:num w:numId="4" w16cid:durableId="1803188066">
    <w:abstractNumId w:val="4"/>
  </w:num>
  <w:num w:numId="5" w16cid:durableId="1681666204">
    <w:abstractNumId w:val="2"/>
  </w:num>
  <w:num w:numId="6" w16cid:durableId="1690525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A18"/>
    <w:rsid w:val="0008474B"/>
    <w:rsid w:val="00102734"/>
    <w:rsid w:val="00126BC0"/>
    <w:rsid w:val="002A3C71"/>
    <w:rsid w:val="00430622"/>
    <w:rsid w:val="004D262B"/>
    <w:rsid w:val="005058F3"/>
    <w:rsid w:val="0053630E"/>
    <w:rsid w:val="00543181"/>
    <w:rsid w:val="0056537B"/>
    <w:rsid w:val="005C5D6C"/>
    <w:rsid w:val="00687B06"/>
    <w:rsid w:val="006B5A18"/>
    <w:rsid w:val="00727EDC"/>
    <w:rsid w:val="007708AF"/>
    <w:rsid w:val="008D5AD6"/>
    <w:rsid w:val="00BC4E81"/>
    <w:rsid w:val="00CA39D5"/>
    <w:rsid w:val="00CE2AB1"/>
    <w:rsid w:val="00CE4D40"/>
    <w:rsid w:val="00E80FC3"/>
    <w:rsid w:val="00EB2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F0D79"/>
  <w15:chartTrackingRefBased/>
  <w15:docId w15:val="{E6DA5D89-C02F-42F6-9414-9289C5A90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B5A1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B5A18"/>
    <w:pPr>
      <w:ind w:left="720"/>
      <w:contextualSpacing/>
    </w:pPr>
  </w:style>
  <w:style w:type="table" w:styleId="Tabelraster">
    <w:name w:val="Table Grid"/>
    <w:basedOn w:val="Standaardtabel"/>
    <w:uiPriority w:val="39"/>
    <w:rsid w:val="006B5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BA452A-2DB7-47B2-8466-A889EF22D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292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DWPM (Daniel)</dc:creator>
  <cp:keywords/>
  <dc:description/>
  <cp:lastModifiedBy>Yori Ysselmuiden</cp:lastModifiedBy>
  <cp:revision>20</cp:revision>
  <dcterms:created xsi:type="dcterms:W3CDTF">2021-09-09T12:59:00Z</dcterms:created>
  <dcterms:modified xsi:type="dcterms:W3CDTF">2023-09-11T18:44:00Z</dcterms:modified>
</cp:coreProperties>
</file>