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50F1" w14:textId="24C8B723" w:rsidR="0067458C" w:rsidRDefault="00A877EC" w:rsidP="002C623E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 - u</w:t>
      </w:r>
      <w:r w:rsidR="0067458C" w:rsidRPr="00782F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itvergroten</w:t>
      </w:r>
      <w:r w:rsidR="0067458C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van bewegingen – </w:t>
      </w:r>
      <w:r w:rsidR="00774634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synchroon bewegen in een ruimte</w:t>
      </w:r>
    </w:p>
    <w:p w14:paraId="7DE7FF05" w14:textId="77777777" w:rsidR="002C623E" w:rsidRPr="00782FFE" w:rsidRDefault="002C623E" w:rsidP="002C623E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cs="Arial"/>
          <w:color w:val="auto"/>
        </w:rPr>
      </w:pPr>
    </w:p>
    <w:p w14:paraId="3790F329" w14:textId="77777777" w:rsidR="0067458C" w:rsidRDefault="0067458C" w:rsidP="0067458C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4ECD3BEB" w14:textId="77777777" w:rsidR="0067458C" w:rsidRDefault="0067458C" w:rsidP="0067458C">
      <w:pPr>
        <w:spacing w:after="0"/>
        <w:rPr>
          <w:rFonts w:cs="Arial"/>
          <w:b/>
          <w:color w:val="auto"/>
        </w:rPr>
      </w:pPr>
    </w:p>
    <w:p w14:paraId="32807FE9" w14:textId="77777777" w:rsidR="0067458C" w:rsidRPr="00CD2F80" w:rsidRDefault="0067458C" w:rsidP="0067458C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06B7E9CF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50A5E1AD" w14:textId="77777777" w:rsidR="00774634" w:rsidRPr="00782FFE" w:rsidRDefault="00774634" w:rsidP="00774634">
      <w:pPr>
        <w:spacing w:after="0"/>
        <w:rPr>
          <w:rFonts w:cs="Arial"/>
          <w:b/>
          <w:color w:val="auto"/>
          <w:lang w:val="nl-NL" w:eastAsia="nl-BE"/>
        </w:rPr>
      </w:pPr>
    </w:p>
    <w:p w14:paraId="06CF9D64" w14:textId="77777777" w:rsidR="00774634" w:rsidRPr="00782FFE" w:rsidRDefault="00774634" w:rsidP="00774634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65D5BC40" w14:textId="1FB1DE10" w:rsidR="00774634" w:rsidRPr="00782FFE" w:rsidRDefault="00774634" w:rsidP="00774634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met het doel deze mimisch te kunnen uitbeelden.</w:t>
      </w:r>
    </w:p>
    <w:p w14:paraId="53A3C28F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4C6BC396" w14:textId="77777777" w:rsidR="00774634" w:rsidRPr="00782FFE" w:rsidRDefault="00774634" w:rsidP="00774634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5D3B30F3" w14:textId="77777777" w:rsidR="00774634" w:rsidRPr="00782FFE" w:rsidRDefault="00774634" w:rsidP="00774634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het mimische spel.</w:t>
      </w:r>
    </w:p>
    <w:p w14:paraId="42D1C3DA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453596A" w14:textId="77777777" w:rsidR="00774634" w:rsidRPr="00782FFE" w:rsidRDefault="00774634" w:rsidP="00774634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0C99FB79" w14:textId="77777777" w:rsidR="00774634" w:rsidRPr="00782FFE" w:rsidRDefault="00774634" w:rsidP="00774634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0A50FAC5" w14:textId="77777777" w:rsidR="00774634" w:rsidRPr="00782FFE" w:rsidRDefault="00774634" w:rsidP="00774634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2088DCD6" w14:textId="05A0CBCE" w:rsidR="00774634" w:rsidRPr="00782FFE" w:rsidRDefault="00774634" w:rsidP="00774634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. </w:t>
      </w:r>
    </w:p>
    <w:p w14:paraId="3D8CD33C" w14:textId="77777777" w:rsidR="00774634" w:rsidRPr="00782FFE" w:rsidRDefault="00774634" w:rsidP="00774634">
      <w:pPr>
        <w:spacing w:after="0"/>
        <w:rPr>
          <w:rFonts w:cs="Arial"/>
          <w:color w:val="auto"/>
          <w:sz w:val="16"/>
          <w:szCs w:val="16"/>
        </w:rPr>
      </w:pPr>
    </w:p>
    <w:p w14:paraId="5E90884D" w14:textId="77777777" w:rsidR="00774634" w:rsidRPr="00782FFE" w:rsidRDefault="00774634" w:rsidP="00774634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69C9D434" w14:textId="77777777" w:rsidR="00774634" w:rsidRPr="00782FFE" w:rsidRDefault="00774634" w:rsidP="00774634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7EDEADBF" w14:textId="77777777" w:rsidR="00774634" w:rsidRPr="00782FFE" w:rsidRDefault="00774634" w:rsidP="00774634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3FBC76F1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C2BCD73" w14:textId="77777777" w:rsidR="00774634" w:rsidRPr="00782FFE" w:rsidRDefault="00774634" w:rsidP="00774634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75915122" w14:textId="77777777" w:rsidR="00774634" w:rsidRPr="00782FFE" w:rsidRDefault="00774634" w:rsidP="00774634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62E2742B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48F8857" w14:textId="77777777" w:rsidR="00774634" w:rsidRPr="00782FFE" w:rsidRDefault="00774634" w:rsidP="00774634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019E168B" w14:textId="77777777" w:rsidR="00774634" w:rsidRPr="00782FFE" w:rsidRDefault="00774634" w:rsidP="00774634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beweging met precisie uitvergroten.</w:t>
      </w:r>
    </w:p>
    <w:p w14:paraId="28D39230" w14:textId="77777777" w:rsidR="00774634" w:rsidRPr="00782FFE" w:rsidRDefault="00774634" w:rsidP="00774634">
      <w:pPr>
        <w:spacing w:after="0"/>
        <w:ind w:left="360"/>
        <w:rPr>
          <w:rFonts w:asciiTheme="minorHAnsi" w:hAnsiTheme="minorHAnsi" w:cstheme="minorBidi"/>
          <w:color w:val="auto"/>
          <w:sz w:val="16"/>
          <w:szCs w:val="16"/>
        </w:rPr>
      </w:pPr>
    </w:p>
    <w:p w14:paraId="579BFE0C" w14:textId="77777777" w:rsidR="00774634" w:rsidRPr="00782FFE" w:rsidRDefault="00774634" w:rsidP="00774634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bookmarkStart w:id="0" w:name="_Hlk46559927"/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66E0A0F" w14:textId="77777777" w:rsidR="00774634" w:rsidRPr="00782FFE" w:rsidRDefault="00774634" w:rsidP="00774634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bookmarkEnd w:id="0"/>
    <w:p w14:paraId="1684AEA1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B2C0D68" w14:textId="77777777" w:rsidR="00774634" w:rsidRPr="00782FFE" w:rsidRDefault="00774634" w:rsidP="00774634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640B5474" w14:textId="77777777" w:rsidR="00774634" w:rsidRPr="00782FFE" w:rsidRDefault="00774634" w:rsidP="00774634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21B3C1C8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81DCEC1" w14:textId="77777777" w:rsidR="00774634" w:rsidRPr="00782FFE" w:rsidRDefault="00774634" w:rsidP="00774634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7A918552" w14:textId="77777777" w:rsidR="00774634" w:rsidRPr="00782FFE" w:rsidRDefault="00774634" w:rsidP="00774634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3BB4985F" w14:textId="77777777" w:rsidR="00774634" w:rsidRPr="00782FFE" w:rsidRDefault="00774634" w:rsidP="0077463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A463879" w14:textId="77777777" w:rsidR="00774634" w:rsidRPr="00782FFE" w:rsidRDefault="00774634" w:rsidP="00774634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bookmarkStart w:id="1" w:name="_Hlk46559945"/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12F14A22" w14:textId="77777777" w:rsidR="00774634" w:rsidRPr="00782FFE" w:rsidRDefault="00774634" w:rsidP="00774634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4DB5BB77" w14:textId="77777777" w:rsidR="00774634" w:rsidRPr="00782FFE" w:rsidRDefault="00774634" w:rsidP="00774634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bookmarkEnd w:id="1"/>
    <w:p w14:paraId="4FE59826" w14:textId="77777777" w:rsidR="00774634" w:rsidRPr="00782FFE" w:rsidRDefault="00774634" w:rsidP="00774634">
      <w:pPr>
        <w:spacing w:after="0"/>
        <w:rPr>
          <w:rFonts w:cs="Arial"/>
          <w:color w:val="auto"/>
          <w:lang w:val="nl-NL" w:eastAsia="nl-BE"/>
        </w:rPr>
      </w:pPr>
    </w:p>
    <w:p w14:paraId="6450477C" w14:textId="07B8BDC0" w:rsidR="00774634" w:rsidRDefault="00774634" w:rsidP="00774634">
      <w:pPr>
        <w:spacing w:line="360" w:lineRule="auto"/>
        <w:rPr>
          <w:rFonts w:cs="Arial"/>
          <w:color w:val="auto"/>
          <w:sz w:val="20"/>
          <w:szCs w:val="20"/>
        </w:rPr>
      </w:pPr>
    </w:p>
    <w:p w14:paraId="55541C61" w14:textId="77777777" w:rsidR="00774634" w:rsidRPr="00782FFE" w:rsidRDefault="00774634" w:rsidP="00774634">
      <w:pPr>
        <w:spacing w:line="360" w:lineRule="auto"/>
        <w:rPr>
          <w:rFonts w:cs="Arial"/>
          <w:color w:val="auto"/>
          <w:lang w:eastAsia="nl-BE"/>
        </w:rPr>
      </w:pPr>
    </w:p>
    <w:p w14:paraId="76D34473" w14:textId="77777777" w:rsidR="00774634" w:rsidRPr="00782FFE" w:rsidRDefault="00774634" w:rsidP="00774634">
      <w:pPr>
        <w:spacing w:line="360" w:lineRule="auto"/>
        <w:rPr>
          <w:rFonts w:cs="Arial"/>
          <w:b/>
          <w:color w:val="auto"/>
          <w:lang w:eastAsia="nl-BE"/>
        </w:rPr>
      </w:pPr>
      <w:r w:rsidRPr="00782FFE">
        <w:rPr>
          <w:rFonts w:cs="Arial"/>
          <w:b/>
          <w:color w:val="auto"/>
          <w:lang w:eastAsia="nl-BE"/>
        </w:rPr>
        <w:t>Verloop:</w:t>
      </w:r>
    </w:p>
    <w:p w14:paraId="21F5D8E7" w14:textId="77777777" w:rsidR="00774634" w:rsidRPr="00782FFE" w:rsidRDefault="00774634" w:rsidP="00774634">
      <w:pPr>
        <w:spacing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>De docent roept vijf spelers op het speelvlak.</w:t>
      </w:r>
    </w:p>
    <w:p w14:paraId="6F8EE9C3" w14:textId="77777777" w:rsidR="00774634" w:rsidRPr="00782FFE" w:rsidRDefault="00774634" w:rsidP="00774634">
      <w:pPr>
        <w:spacing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>Zij zitten in de wachtkamer van de dokter.</w:t>
      </w:r>
    </w:p>
    <w:p w14:paraId="58AAC17E" w14:textId="77777777" w:rsidR="00774634" w:rsidRPr="00782FFE" w:rsidRDefault="00774634" w:rsidP="00774634">
      <w:pPr>
        <w:spacing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>Een zesde speler komt binnen.</w:t>
      </w:r>
    </w:p>
    <w:p w14:paraId="29CDEF18" w14:textId="77777777" w:rsidR="00774634" w:rsidRPr="00782FFE" w:rsidRDefault="00774634" w:rsidP="00774634">
      <w:pPr>
        <w:spacing w:line="360" w:lineRule="auto"/>
        <w:rPr>
          <w:rFonts w:cs="Arial"/>
          <w:color w:val="auto"/>
          <w:lang w:eastAsia="nl-BE"/>
        </w:rPr>
      </w:pPr>
      <w:r w:rsidRPr="00782FFE">
        <w:rPr>
          <w:rFonts w:cs="Arial"/>
          <w:color w:val="auto"/>
        </w:rPr>
        <w:t>De vijf spelers bootsen onmiddellijk alle bewegingen van de nieuwkomer na.</w:t>
      </w:r>
    </w:p>
    <w:p w14:paraId="5C5A29E8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>De nieuwkomer gaat één van zijn bewegingen herhalen.</w:t>
      </w:r>
    </w:p>
    <w:p w14:paraId="0A06A059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 xml:space="preserve">De andere spelers imiteren. </w:t>
      </w:r>
    </w:p>
    <w:p w14:paraId="3B421B7F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>Vervolgens gaan ze de beweging in drie stappen uitvergroten.</w:t>
      </w:r>
    </w:p>
    <w:p w14:paraId="7225B492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>En weer verkleinen.</w:t>
      </w:r>
    </w:p>
    <w:p w14:paraId="2B8D3249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 xml:space="preserve">Een speler wordt uit de wachtzaal geroepen en een nieuwe speler mag erbij komen. </w:t>
      </w:r>
    </w:p>
    <w:p w14:paraId="62CEEE10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>Zelfde oefening, maar met andere locatie:</w:t>
      </w:r>
    </w:p>
    <w:p w14:paraId="378FC9F5" w14:textId="77777777" w:rsidR="00774634" w:rsidRPr="00782FFE" w:rsidRDefault="00774634" w:rsidP="00774634">
      <w:pPr>
        <w:spacing w:line="360" w:lineRule="auto"/>
        <w:rPr>
          <w:rFonts w:eastAsia="Times New Roman" w:cs="Arial"/>
          <w:bCs/>
          <w:color w:val="auto"/>
          <w:lang w:eastAsia="nl-BE"/>
        </w:rPr>
      </w:pPr>
      <w:r w:rsidRPr="00782FFE">
        <w:rPr>
          <w:rFonts w:eastAsia="Times New Roman" w:cs="Arial"/>
          <w:bCs/>
          <w:color w:val="auto"/>
          <w:lang w:eastAsia="nl-BE"/>
        </w:rPr>
        <w:t>Vb. een strand, een bushalte, een klas, een winkel, een park …</w:t>
      </w:r>
    </w:p>
    <w:p w14:paraId="6895BAE6" w14:textId="35AE8DB1" w:rsidR="0017658F" w:rsidRPr="009D65D8" w:rsidRDefault="0017658F" w:rsidP="009D65D8">
      <w:pPr>
        <w:spacing w:line="360" w:lineRule="auto"/>
        <w:rPr>
          <w:rFonts w:eastAsia="Times New Roman" w:cs="Arial"/>
          <w:bCs/>
          <w:color w:val="auto"/>
          <w:lang w:eastAsia="nl-BE"/>
        </w:rPr>
      </w:pPr>
    </w:p>
    <w:sectPr w:rsidR="0017658F" w:rsidRPr="009D6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C623E"/>
    <w:rsid w:val="002D4E4C"/>
    <w:rsid w:val="002D7B02"/>
    <w:rsid w:val="00315D0C"/>
    <w:rsid w:val="003468C0"/>
    <w:rsid w:val="005A35C0"/>
    <w:rsid w:val="006602EC"/>
    <w:rsid w:val="0067458C"/>
    <w:rsid w:val="00774634"/>
    <w:rsid w:val="008653CD"/>
    <w:rsid w:val="0090671F"/>
    <w:rsid w:val="00921A15"/>
    <w:rsid w:val="00970D61"/>
    <w:rsid w:val="009C44B6"/>
    <w:rsid w:val="009D65D8"/>
    <w:rsid w:val="00A0411A"/>
    <w:rsid w:val="00A66784"/>
    <w:rsid w:val="00A7181A"/>
    <w:rsid w:val="00A877EC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4</cp:revision>
  <dcterms:created xsi:type="dcterms:W3CDTF">2020-07-25T07:12:00Z</dcterms:created>
  <dcterms:modified xsi:type="dcterms:W3CDTF">2021-08-10T11:37:00Z</dcterms:modified>
</cp:coreProperties>
</file>