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3B" w:rsidRDefault="006F7884">
      <w:pPr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3260090</wp:posOffset>
                </wp:positionH>
                <wp:positionV relativeFrom="page">
                  <wp:posOffset>2343785</wp:posOffset>
                </wp:positionV>
                <wp:extent cx="3136265" cy="0"/>
                <wp:effectExtent l="12065" t="10160" r="13970" b="889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13626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0CA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56.7pt;margin-top:184.55pt;width:246.95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3665220</wp:posOffset>
                </wp:positionH>
                <wp:positionV relativeFrom="page">
                  <wp:posOffset>4873625</wp:posOffset>
                </wp:positionV>
                <wp:extent cx="3200400" cy="0"/>
                <wp:effectExtent l="7620" t="6350" r="11430" b="127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FC6E9" id="AutoShape 3" o:spid="_x0000_s1026" type="#_x0000_t32" style="position:absolute;margin-left:288.6pt;margin-top:383.75pt;width:252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36173B" w:rsidRDefault="006F7884">
      <w:pPr>
        <w:pStyle w:val="Heading10"/>
        <w:framePr w:wrap="none" w:vAnchor="page" w:hAnchor="page" w:x="1055" w:y="1803"/>
        <w:shd w:val="clear" w:color="auto" w:fill="000000"/>
        <w:spacing w:after="0"/>
        <w:ind w:left="920" w:right="5865"/>
      </w:pPr>
      <w:bookmarkStart w:id="1" w:name="bookmark0"/>
      <w:r>
        <w:rPr>
          <w:rStyle w:val="Heading11"/>
          <w:b/>
          <w:bCs/>
        </w:rPr>
        <w:t>IN HET NIEUWS</w:t>
      </w:r>
      <w:bookmarkEnd w:id="1"/>
    </w:p>
    <w:p w:rsidR="0036173B" w:rsidRDefault="006F7884">
      <w:pPr>
        <w:pStyle w:val="Heading30"/>
        <w:framePr w:w="9163" w:h="749" w:hRule="exact" w:wrap="none" w:vAnchor="page" w:hAnchor="page" w:x="1055" w:y="2406"/>
        <w:shd w:val="clear" w:color="auto" w:fill="auto"/>
        <w:spacing w:before="0"/>
        <w:ind w:left="220" w:right="6040"/>
      </w:pPr>
      <w:bookmarkStart w:id="2" w:name="bookmark1"/>
      <w:r>
        <w:t>NashviUe-verklaring niet strafbaar</w:t>
      </w:r>
      <w:bookmarkEnd w:id="2"/>
    </w:p>
    <w:p w:rsidR="0036173B" w:rsidRDefault="006F7884">
      <w:pPr>
        <w:pStyle w:val="Other0"/>
        <w:framePr w:wrap="none" w:vAnchor="page" w:hAnchor="page" w:x="3244" w:y="5106"/>
        <w:shd w:val="clear" w:color="auto" w:fill="auto"/>
        <w:spacing w:line="800" w:lineRule="exact"/>
        <w:jc w:val="both"/>
      </w:pPr>
      <w:r>
        <w:rPr>
          <w:rStyle w:val="Other40ptBold"/>
        </w:rPr>
        <w:t>I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5680"/>
      </w:pPr>
      <w:r>
        <w:rPr>
          <w:rStyle w:val="Bodytext2Bold"/>
        </w:rPr>
        <w:t xml:space="preserve">DEN HAAG </w:t>
      </w:r>
      <w:r>
        <w:t>- De NashviUe-verklaring</w:t>
      </w:r>
      <w:r>
        <w:br/>
        <w:t>tegen homoseksualiteit is niet strafbaar.</w:t>
      </w:r>
      <w:r>
        <w:br/>
        <w:t>Ondertekenaars van dit pamflet verklaar-</w:t>
      </w:r>
      <w:r>
        <w:br/>
        <w:t>den dat zij homoseksualiteit zondig vinden,</w:t>
      </w:r>
      <w:r>
        <w:br/>
        <w:t>dat homoseksualiteit kan worden genezen</w:t>
      </w:r>
      <w:r>
        <w:br/>
      </w:r>
      <w:r>
        <w:t>en dat het huwelijk alleen kan bestaan tus-</w:t>
      </w:r>
      <w:r>
        <w:br/>
        <w:t>sen man en vrouw. De verklaring werd</w:t>
      </w:r>
      <w:r>
        <w:br/>
        <w:t>mede ondertekend door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6830"/>
      </w:pPr>
      <w:r>
        <w:t>SGP-leider Kees van der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6974"/>
      </w:pPr>
      <w:r>
        <w:t>Staaij. Dat leverde hem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6984"/>
      </w:pPr>
      <w:r>
        <w:t>veel kritiek op. De VVD,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6974"/>
      </w:pPr>
      <w:r>
        <w:t>D66, GroenLinks, de</w:t>
      </w:r>
      <w:r>
        <w:br/>
        <w:t>PvdA en 50PLUS stelden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6677"/>
      </w:pPr>
      <w:r>
        <w:t>Kamervragen: zij wilden</w:t>
      </w:r>
      <w:r>
        <w:br/>
        <w:t xml:space="preserve">van het </w:t>
      </w:r>
      <w:r>
        <w:t>kabinet weten of het</w:t>
      </w:r>
    </w:p>
    <w:p w:rsidR="0036173B" w:rsidRDefault="006F7884">
      <w:pPr>
        <w:pStyle w:val="Bodytext20"/>
        <w:framePr w:w="9163" w:h="5544" w:hRule="exact" w:wrap="none" w:vAnchor="page" w:hAnchor="page" w:x="1055" w:y="3225"/>
        <w:shd w:val="clear" w:color="auto" w:fill="auto"/>
        <w:ind w:left="220" w:right="5680"/>
      </w:pPr>
      <w:r>
        <w:t>pamflet kan worden gezien als een</w:t>
      </w:r>
      <w:r>
        <w:br/>
        <w:t>vorm van haatzaaien en dus strafbaar is.</w:t>
      </w:r>
      <w:r>
        <w:br/>
        <w:t>Volgens het Openbaar Ministerie valt de</w:t>
      </w:r>
      <w:r>
        <w:br/>
        <w:t>verklaring onder de vrijheid van godsdienst</w:t>
      </w:r>
      <w:r>
        <w:br/>
        <w:t>en vrijheid van meningsuiting en is er geen</w:t>
      </w:r>
      <w:r>
        <w:br/>
        <w:t>sprake van een strafbaar feit. V</w:t>
      </w:r>
      <w:r>
        <w:t>an der Staaij</w:t>
      </w:r>
      <w:r>
        <w:br/>
        <w:t>vindt het goed dat er nu duidelijkheid is:</w:t>
      </w:r>
      <w:r>
        <w:br/>
        <w:t>“Het onderstreept de vrijheid om de klas-</w:t>
      </w:r>
      <w:r>
        <w:br/>
        <w:t>siek-christelijke visie op huwelijk en seksu-</w:t>
      </w:r>
      <w:r>
        <w:br/>
        <w:t>aliteit te blijven verwoorden.”</w:t>
      </w:r>
    </w:p>
    <w:p w:rsidR="0036173B" w:rsidRDefault="006F7884">
      <w:pPr>
        <w:pStyle w:val="Bodytext30"/>
        <w:framePr w:w="9163" w:h="5544" w:hRule="exact" w:wrap="none" w:vAnchor="page" w:hAnchor="page" w:x="1055" w:y="3225"/>
        <w:shd w:val="clear" w:color="auto" w:fill="auto"/>
        <w:ind w:left="220"/>
      </w:pPr>
      <w:r>
        <w:t>Bron.- De Telegraaf en Reformatorisch Dagblad</w:t>
      </w:r>
    </w:p>
    <w:p w:rsidR="0036173B" w:rsidRDefault="0036173B">
      <w:pPr>
        <w:framePr w:wrap="none" w:vAnchor="page" w:hAnchor="page" w:x="3657" w:y="5946"/>
      </w:pPr>
    </w:p>
    <w:p w:rsidR="0036173B" w:rsidRDefault="006F7884">
      <w:pPr>
        <w:framePr w:wrap="none" w:vAnchor="page" w:hAnchor="page" w:x="1084" w:y="889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333625" cy="1609725"/>
            <wp:effectExtent l="0" t="0" r="0" b="0"/>
            <wp:docPr id="1" name="Afbeelding 1" descr="C:\Users\Daniel Fluitsma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 Fluitsma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73B" w:rsidRDefault="006F7884">
      <w:pPr>
        <w:pStyle w:val="Bodytext40"/>
        <w:framePr w:w="5822" w:h="1537" w:hRule="exact" w:wrap="none" w:vAnchor="page" w:hAnchor="page" w:x="5121" w:y="1724"/>
        <w:numPr>
          <w:ilvl w:val="0"/>
          <w:numId w:val="1"/>
        </w:numPr>
        <w:shd w:val="clear" w:color="auto" w:fill="auto"/>
        <w:tabs>
          <w:tab w:val="left" w:pos="216"/>
        </w:tabs>
        <w:ind w:left="240"/>
      </w:pPr>
      <w:r>
        <w:t>Culturele verschillen hebben met verschillende factoren te maken. Welke twee factoren uit de lestekst herken je in de bron?</w:t>
      </w:r>
    </w:p>
    <w:p w:rsidR="0036173B" w:rsidRDefault="006F7884">
      <w:pPr>
        <w:pStyle w:val="Bodytext40"/>
        <w:framePr w:w="5822" w:h="1537" w:hRule="exact" w:wrap="none" w:vAnchor="page" w:hAnchor="page" w:x="5121" w:y="1724"/>
        <w:numPr>
          <w:ilvl w:val="0"/>
          <w:numId w:val="1"/>
        </w:numPr>
        <w:shd w:val="clear" w:color="auto" w:fill="auto"/>
        <w:tabs>
          <w:tab w:val="left" w:pos="216"/>
        </w:tabs>
        <w:ind w:left="240"/>
      </w:pPr>
      <w:r>
        <w:t xml:space="preserve">Vertegenwoordigt Van der Staaij hier de dominante cultuur, een </w:t>
      </w:r>
      <w:r>
        <w:t>subcultuur of een tegencultuur? Beargumenteer je antwoord.</w:t>
      </w:r>
    </w:p>
    <w:p w:rsidR="0036173B" w:rsidRDefault="006F7884">
      <w:pPr>
        <w:pStyle w:val="Bodytext40"/>
        <w:framePr w:w="5822" w:h="1537" w:hRule="exact" w:wrap="none" w:vAnchor="page" w:hAnchor="page" w:x="5121" w:y="1724"/>
        <w:numPr>
          <w:ilvl w:val="0"/>
          <w:numId w:val="1"/>
        </w:numPr>
        <w:shd w:val="clear" w:color="auto" w:fill="auto"/>
        <w:tabs>
          <w:tab w:val="left" w:pos="226"/>
        </w:tabs>
        <w:ind w:left="240"/>
      </w:pPr>
      <w:r>
        <w:t>In deze bron is sprake van een botsing van grondrechten.</w:t>
      </w:r>
    </w:p>
    <w:p w:rsidR="0036173B" w:rsidRDefault="006F7884">
      <w:pPr>
        <w:pStyle w:val="Bodytext40"/>
        <w:framePr w:w="5822" w:h="1537" w:hRule="exact" w:wrap="none" w:vAnchor="page" w:hAnchor="page" w:x="5121" w:y="1724"/>
        <w:shd w:val="clear" w:color="auto" w:fill="auto"/>
        <w:ind w:left="240" w:firstLine="0"/>
      </w:pPr>
      <w:r>
        <w:t>Welke drie grondrechten zijn dat?</w:t>
      </w:r>
    </w:p>
    <w:p w:rsidR="0036173B" w:rsidRDefault="0036173B">
      <w:pPr>
        <w:framePr w:wrap="none" w:vAnchor="page" w:hAnchor="page" w:x="9301" w:y="4568"/>
      </w:pPr>
    </w:p>
    <w:p w:rsidR="0036173B" w:rsidRDefault="006F7884">
      <w:pPr>
        <w:pStyle w:val="Heading20"/>
        <w:framePr w:w="9163" w:h="3353" w:hRule="exact" w:wrap="none" w:vAnchor="page" w:hAnchor="page" w:x="1055" w:y="11807"/>
        <w:shd w:val="clear" w:color="auto" w:fill="auto"/>
        <w:spacing w:after="222"/>
      </w:pPr>
      <w:bookmarkStart w:id="3" w:name="bookmark2"/>
      <w:r>
        <w:t>9 Welke cultuur?</w:t>
      </w:r>
      <w:bookmarkEnd w:id="3"/>
    </w:p>
    <w:p w:rsidR="0036173B" w:rsidRDefault="006F7884">
      <w:pPr>
        <w:pStyle w:val="Bodytext40"/>
        <w:framePr w:w="9163" w:h="3353" w:hRule="exact" w:wrap="none" w:vAnchor="page" w:hAnchor="page" w:x="1055" w:y="11807"/>
        <w:shd w:val="clear" w:color="auto" w:fill="auto"/>
        <w:spacing w:after="14" w:line="254" w:lineRule="exact"/>
        <w:ind w:firstLine="0"/>
        <w:jc w:val="both"/>
      </w:pPr>
      <w:r>
        <w:t>Hieronder vind je twaalf cultuurgroepen in Nederland. Geef telkens aan of het hier voora</w:t>
      </w:r>
      <w:r>
        <w:t>l om de dominante, een sub- of een tegencultuur gaat.</w:t>
      </w:r>
    </w:p>
    <w:p w:rsidR="0036173B" w:rsidRDefault="006F7884">
      <w:pPr>
        <w:pStyle w:val="Bodytext40"/>
        <w:framePr w:w="9163" w:h="3353" w:hRule="exact" w:wrap="none" w:vAnchor="page" w:hAnchor="page" w:x="1055" w:y="11807"/>
        <w:shd w:val="clear" w:color="auto" w:fill="auto"/>
        <w:tabs>
          <w:tab w:val="left" w:leader="dot" w:pos="4715"/>
          <w:tab w:val="left" w:leader="dot" w:pos="9118"/>
        </w:tabs>
        <w:spacing w:line="437" w:lineRule="exact"/>
        <w:ind w:firstLine="0"/>
        <w:jc w:val="both"/>
      </w:pPr>
      <w:r>
        <w:t>Studio Sport-kijkers</w:t>
      </w:r>
      <w:r>
        <w:tab/>
        <w:t xml:space="preserve"> Milieuactivisten</w:t>
      </w:r>
      <w:r>
        <w:tab/>
      </w:r>
    </w:p>
    <w:p w:rsidR="0036173B" w:rsidRDefault="006F7884">
      <w:pPr>
        <w:pStyle w:val="Bodytext40"/>
        <w:framePr w:w="9163" w:h="3353" w:hRule="exact" w:wrap="none" w:vAnchor="page" w:hAnchor="page" w:x="1055" w:y="11807"/>
        <w:shd w:val="clear" w:color="auto" w:fill="auto"/>
        <w:tabs>
          <w:tab w:val="left" w:leader="dot" w:pos="4715"/>
          <w:tab w:val="left" w:leader="dot" w:pos="9118"/>
        </w:tabs>
        <w:spacing w:line="437" w:lineRule="exact"/>
        <w:ind w:firstLine="0"/>
        <w:jc w:val="both"/>
      </w:pPr>
      <w:r>
        <w:t>Immigranten uit Eritrea</w:t>
      </w:r>
      <w:r>
        <w:tab/>
        <w:t xml:space="preserve"> Carnavalsvierders in Limburg</w:t>
      </w:r>
      <w:r>
        <w:tab/>
      </w:r>
    </w:p>
    <w:p w:rsidR="0036173B" w:rsidRDefault="006F7884">
      <w:pPr>
        <w:pStyle w:val="Bodytext40"/>
        <w:framePr w:w="9163" w:h="3353" w:hRule="exact" w:wrap="none" w:vAnchor="page" w:hAnchor="page" w:x="1055" w:y="11807"/>
        <w:shd w:val="clear" w:color="auto" w:fill="auto"/>
        <w:tabs>
          <w:tab w:val="left" w:leader="dot" w:pos="4715"/>
          <w:tab w:val="left" w:leader="dot" w:pos="8352"/>
        </w:tabs>
        <w:spacing w:line="437" w:lineRule="exact"/>
        <w:ind w:firstLine="0"/>
        <w:jc w:val="both"/>
      </w:pPr>
      <w:r>
        <w:t>Veganisten</w:t>
      </w:r>
      <w:r>
        <w:tab/>
        <w:t xml:space="preserve"> Jihadisten</w:t>
      </w:r>
      <w:r>
        <w:tab/>
      </w:r>
    </w:p>
    <w:p w:rsidR="0036173B" w:rsidRDefault="006F7884">
      <w:pPr>
        <w:pStyle w:val="Bodytext40"/>
        <w:framePr w:w="9163" w:h="3353" w:hRule="exact" w:wrap="none" w:vAnchor="page" w:hAnchor="page" w:x="1055" w:y="11807"/>
        <w:shd w:val="clear" w:color="auto" w:fill="auto"/>
        <w:tabs>
          <w:tab w:val="left" w:pos="2120"/>
          <w:tab w:val="left" w:leader="dot" w:pos="4715"/>
          <w:tab w:val="left" w:leader="dot" w:pos="9118"/>
        </w:tabs>
        <w:spacing w:line="437" w:lineRule="exact"/>
        <w:ind w:firstLine="0"/>
        <w:jc w:val="both"/>
      </w:pPr>
      <w:r>
        <w:t>Ajax-supporters van de</w:t>
      </w:r>
      <w:r>
        <w:tab/>
        <w:t>F-side</w:t>
      </w:r>
      <w:r>
        <w:tab/>
        <w:t xml:space="preserve"> Metalfans</w:t>
      </w:r>
      <w:r>
        <w:tab/>
      </w:r>
    </w:p>
    <w:p w:rsidR="0036173B" w:rsidRDefault="006F7884">
      <w:pPr>
        <w:pStyle w:val="Bodytext40"/>
        <w:framePr w:w="9163" w:h="3353" w:hRule="exact" w:wrap="none" w:vAnchor="page" w:hAnchor="page" w:x="1055" w:y="11807"/>
        <w:shd w:val="clear" w:color="auto" w:fill="auto"/>
        <w:tabs>
          <w:tab w:val="left" w:leader="dot" w:pos="4171"/>
          <w:tab w:val="left" w:leader="dot" w:pos="9118"/>
        </w:tabs>
        <w:spacing w:line="437" w:lineRule="exact"/>
        <w:ind w:firstLine="0"/>
        <w:jc w:val="both"/>
      </w:pPr>
      <w:r>
        <w:t>Fans van Frenna</w:t>
      </w:r>
      <w:r>
        <w:tab/>
        <w:t xml:space="preserve"> Orthodoxe joden </w:t>
      </w:r>
      <w:r>
        <w:tab/>
      </w:r>
    </w:p>
    <w:p w:rsidR="0036173B" w:rsidRDefault="006F7884">
      <w:pPr>
        <w:pStyle w:val="Bodytext40"/>
        <w:framePr w:wrap="none" w:vAnchor="page" w:hAnchor="page" w:x="1060" w:y="15288"/>
        <w:shd w:val="clear" w:color="auto" w:fill="auto"/>
        <w:spacing w:line="222" w:lineRule="exact"/>
        <w:ind w:firstLine="0"/>
      </w:pPr>
      <w:r>
        <w:t>Zwarte</w:t>
      </w:r>
      <w:r>
        <w:t xml:space="preserve"> Cross-gangers</w:t>
      </w:r>
    </w:p>
    <w:p w:rsidR="0036173B" w:rsidRDefault="006F7884">
      <w:pPr>
        <w:pStyle w:val="Bodytext40"/>
        <w:framePr w:wrap="none" w:vAnchor="page" w:hAnchor="page" w:x="1055" w:y="15302"/>
        <w:shd w:val="clear" w:color="auto" w:fill="auto"/>
        <w:spacing w:line="222" w:lineRule="exact"/>
        <w:ind w:left="5304" w:right="1689" w:firstLine="0"/>
        <w:jc w:val="both"/>
      </w:pPr>
      <w:r>
        <w:t>Nederlandssprekenden</w:t>
      </w:r>
    </w:p>
    <w:p w:rsidR="0036173B" w:rsidRDefault="0036173B">
      <w:pPr>
        <w:rPr>
          <w:sz w:val="2"/>
          <w:szCs w:val="2"/>
        </w:rPr>
      </w:pPr>
    </w:p>
    <w:sectPr w:rsidR="0036173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F7884">
      <w:r>
        <w:separator/>
      </w:r>
    </w:p>
  </w:endnote>
  <w:endnote w:type="continuationSeparator" w:id="0">
    <w:p w:rsidR="00000000" w:rsidRDefault="006F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3B" w:rsidRDefault="0036173B"/>
  </w:footnote>
  <w:footnote w:type="continuationSeparator" w:id="0">
    <w:p w:rsidR="0036173B" w:rsidRDefault="003617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60F0D"/>
    <w:multiLevelType w:val="multilevel"/>
    <w:tmpl w:val="2C8A1C2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3B"/>
    <w:rsid w:val="0036173B"/>
    <w:rsid w:val="006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</o:rules>
    </o:shapelayout>
  </w:shapeDefaults>
  <w:decimalSymbol w:val=","/>
  <w:listSeparator w:val=";"/>
  <w15:docId w15:val="{BD553556-D315-428D-A5EF-9A2EFBD9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eading1">
    <w:name w:val="Heading #1_"/>
    <w:basedOn w:val="Standaardalinea-lettertype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nl-NL" w:eastAsia="nl-NL" w:bidi="nl-NL"/>
    </w:rPr>
  </w:style>
  <w:style w:type="character" w:customStyle="1" w:styleId="Heading3">
    <w:name w:val="Heading #3_"/>
    <w:basedOn w:val="Standaardalinea-lettertype"/>
    <w:link w:val="Heading30"/>
    <w:rPr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Other">
    <w:name w:val="Other_"/>
    <w:basedOn w:val="Standaardalinea-lettertype"/>
    <w:link w:val="Other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40ptBold">
    <w:name w:val="Other + 40 pt;Bold"/>
    <w:basedOn w:val="Other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0"/>
      <w:szCs w:val="80"/>
      <w:u w:val="none"/>
      <w:lang w:val="nl-NL" w:eastAsia="nl-NL" w:bidi="nl-NL"/>
    </w:rPr>
  </w:style>
  <w:style w:type="character" w:customStyle="1" w:styleId="Bodytext2">
    <w:name w:val="Body text (2)_"/>
    <w:basedOn w:val="Standaardalinea-lettertype"/>
    <w:link w:val="Bodytext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nl-NL" w:eastAsia="nl-NL" w:bidi="nl-NL"/>
    </w:rPr>
  </w:style>
  <w:style w:type="character" w:customStyle="1" w:styleId="Bodytext3">
    <w:name w:val="Body text (3)_"/>
    <w:basedOn w:val="Standaardalinea-lettertype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4">
    <w:name w:val="Body text (4)_"/>
    <w:basedOn w:val="Standaardalinea-lettertype"/>
    <w:link w:val="Bodytext40"/>
    <w:rPr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Heading2">
    <w:name w:val="Heading #2_"/>
    <w:basedOn w:val="Standaardalinea-lettertype"/>
    <w:link w:val="Heading20"/>
    <w:rPr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Heading10">
    <w:name w:val="Heading #1"/>
    <w:basedOn w:val="Standaard"/>
    <w:link w:val="Heading1"/>
    <w:pPr>
      <w:shd w:val="clear" w:color="auto" w:fill="FFFFFF"/>
      <w:spacing w:after="280" w:line="334" w:lineRule="exact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Heading30">
    <w:name w:val="Heading #3"/>
    <w:basedOn w:val="Standaard"/>
    <w:link w:val="Heading3"/>
    <w:pPr>
      <w:shd w:val="clear" w:color="auto" w:fill="FFFFFF"/>
      <w:spacing w:before="280" w:line="341" w:lineRule="exact"/>
      <w:outlineLvl w:val="2"/>
    </w:pPr>
    <w:rPr>
      <w:b/>
      <w:bCs/>
      <w:sz w:val="30"/>
      <w:szCs w:val="30"/>
    </w:rPr>
  </w:style>
  <w:style w:type="paragraph" w:customStyle="1" w:styleId="Other0">
    <w:name w:val="Other"/>
    <w:basedOn w:val="Standaard"/>
    <w:link w:val="Other"/>
    <w:pPr>
      <w:shd w:val="clear" w:color="auto" w:fill="FFFFFF"/>
    </w:pPr>
    <w:rPr>
      <w:sz w:val="20"/>
      <w:szCs w:val="20"/>
    </w:rPr>
  </w:style>
  <w:style w:type="paragraph" w:customStyle="1" w:styleId="Bodytext20">
    <w:name w:val="Body text (2)"/>
    <w:basedOn w:val="Standaard"/>
    <w:link w:val="Bodytext2"/>
    <w:pPr>
      <w:shd w:val="clear" w:color="auto" w:fill="FFFFFF"/>
      <w:spacing w:line="211" w:lineRule="exact"/>
      <w:jc w:val="both"/>
    </w:pPr>
    <w:rPr>
      <w:sz w:val="19"/>
      <w:szCs w:val="19"/>
    </w:rPr>
  </w:style>
  <w:style w:type="paragraph" w:customStyle="1" w:styleId="Bodytext30">
    <w:name w:val="Body text (3)"/>
    <w:basedOn w:val="Standaard"/>
    <w:link w:val="Bodytext3"/>
    <w:pPr>
      <w:shd w:val="clear" w:color="auto" w:fill="FFFFFF"/>
      <w:spacing w:line="211" w:lineRule="exact"/>
    </w:pPr>
    <w:rPr>
      <w:rFonts w:ascii="Arial" w:eastAsia="Arial" w:hAnsi="Arial" w:cs="Arial"/>
      <w:sz w:val="13"/>
      <w:szCs w:val="13"/>
    </w:rPr>
  </w:style>
  <w:style w:type="paragraph" w:customStyle="1" w:styleId="Bodytext40">
    <w:name w:val="Body text (4)"/>
    <w:basedOn w:val="Standaard"/>
    <w:link w:val="Bodytext4"/>
    <w:pPr>
      <w:shd w:val="clear" w:color="auto" w:fill="FFFFFF"/>
      <w:spacing w:line="245" w:lineRule="exact"/>
      <w:ind w:hanging="240"/>
    </w:pPr>
    <w:rPr>
      <w:spacing w:val="10"/>
      <w:sz w:val="20"/>
      <w:szCs w:val="20"/>
    </w:rPr>
  </w:style>
  <w:style w:type="paragraph" w:customStyle="1" w:styleId="Heading20">
    <w:name w:val="Heading #2"/>
    <w:basedOn w:val="Standaard"/>
    <w:link w:val="Heading2"/>
    <w:pPr>
      <w:shd w:val="clear" w:color="auto" w:fill="FFFFFF"/>
      <w:spacing w:after="160" w:line="332" w:lineRule="exact"/>
      <w:jc w:val="both"/>
      <w:outlineLvl w:val="1"/>
    </w:pPr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Fluitsma</dc:creator>
  <cp:lastModifiedBy>Fluitsma, DWPM (Daniel)</cp:lastModifiedBy>
  <cp:revision>2</cp:revision>
  <dcterms:created xsi:type="dcterms:W3CDTF">2021-01-11T10:18:00Z</dcterms:created>
  <dcterms:modified xsi:type="dcterms:W3CDTF">2021-01-11T10:18:00Z</dcterms:modified>
</cp:coreProperties>
</file>