
<file path=[Content_Types].xml><?xml version="1.0" encoding="utf-8"?>
<Types xmlns="http://schemas.openxmlformats.org/package/2006/content-types">
  <Default Extension="rels" ContentType="application/vnd.openxmlformats-package.relationships+xml"/>
  <Default Extension="ttf" ContentType="application/x-font-ttf"/>
  <Default Extension="xml" ContentType="application/xml"/>
  <Default Extension="jpg" ContentType="image/jpeg"/>
  <Default Extension="png" ContentType="image/png"/>
  <Default Extension="jpeg" ContentType="image/jpeg"/>
  <Default Extension="tiff" ContentType="image/tiff"/>
  <Default Extension="gif" ContentType="image/gif"/>
  <Default Extension="bin" ContentType="application/vnd.openxmlformats-officedocument.oleObject"/>
  <Default Extension="wmf" ContentType="image/x-wmf"/>
  <Default Extension="emf" ContentType="image/x-emf"/>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background w:color="FFFFFF"/>
  <w:body>
    <w:p w:rsidR="00000000" w:rsidDel="00000000" w:rsidRDefault="00000000" w14:paraId="00000001"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pPr>
      <w:r>
        <w:rPr>
          <w:noProof/>
        </w:rPr>
        <w:drawing>
          <wp:inline distB="114300" distL="114300" distR="114300" distT="114300">
            <wp:extent cx="5943600" cy="76200"/>
            <wp:effectExtent b="0" l="0" r="0" t="0"/>
            <wp:docPr descr="horizontale lijn" id="1" name="image2.png"/>
            <a:graphic>
              <a:graphicData uri="http://schemas.openxmlformats.org/drawingml/2006/picture">
                <pic:pic>
                  <pic:nvPicPr>
                    <pic:cNvPr descr="horizontale lijn" id="0" name="image2.png"/>
                    <pic:cNvPicPr preferRelativeResize="0"/>
                  </pic:nvPicPr>
                  <pic:blipFill>
                    <a:blip r:embed="rId11"/>
                    <a:srcRect/>
                    <a:stretch>
                      <a:fillRect/>
                    </a:stretch>
                  </pic:blipFill>
                  <pic:spPr>
                    <a:xfrm>
                      <a:off x="0" y="0"/>
                      <a:ext cx="5943600" cy="76200"/>
                    </a:xfrm>
                    <a:prstGeom prst="rect"/>
                    <a:ln/>
                  </pic:spPr>
                </pic:pic>
              </a:graphicData>
            </a:graphic>
          </wp:inline>
        </w:drawing>
      </w:r>
      <w:r w:rsidR="00000000" w:rsidDel="00000000" w:rsidRPr="00000000">
        <w:rPr>
          <w:rtl w:val="0"/>
        </w:rPr>
      </w:r>
    </w:p>
    <w:p w:rsidR="00000000" w:rsidDel="00000000" w:rsidRDefault="00000000" w14:paraId="00000002"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Title"/>
      </w:pPr>
      <w:bookmarkStart w:colFirst="0" w:colLast="0" w:name="_2gazcsgmxkub" w:id="0"/>
      <w:bookmarkEnd w:id="0"/>
      <w:r w:rsidR="00000000" w:rsidDel="00000000" w:rsidRPr="00000000">
        <w:rPr>
          <w:rtl w:val="0"/>
        </w:rPr>
        <w:t>Jagers en verzamelaars</w:t>
      </w:r>
    </w:p>
    <w:p w:rsidR="00000000" w:rsidDel="00000000" w:rsidRDefault="00000000" w14:paraId="00000003"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Subtitle"/>
        <w:rPr>
          <w:color w:val="695D46"/>
        </w:rPr>
      </w:pPr>
      <w:bookmarkStart w:colFirst="0" w:colLast="0" w:name="_2nuf54q86v7q" w:id="1"/>
      <w:bookmarkEnd w:id="1"/>
      <w:r w:rsidR="00000000" w:rsidDel="00000000" w:rsidRPr="00000000">
        <w:rPr>
          <w:rtl w:val="0"/>
        </w:rPr>
        <w:t>De levenswijze van jager-verzamelaars</w:t>
      </w:r>
      <w:r w:rsidR="00000000" w:rsidDel="00000000" w:rsidRPr="00000000">
        <w:rPr>
          <w:rtl w:val="0"/>
        </w:rPr>
      </w:r>
    </w:p>
    <w:p w:rsidR="00000000" w:rsidDel="00000000" w:rsidRDefault="00000000" w14:paraId="00000004"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rPr>
          <w:b/>
          <w:sz w:val="36"/>
          <w:szCs w:val="36"/>
        </w:rPr>
      </w:pPr>
      <w:r w:rsidR="00000000" w:rsidDel="00000000" w:rsidRPr="00000000">
        <w:rPr>
          <w:rtl w:val="0"/>
          <w:b/>
          <w:rFonts w:ascii="Arial Unicode MS" w:cs="Arial Unicode MS" w:eastAsia="Arial Unicode MS" w:hAnsi="Arial Unicode MS"/>
          <w:sz w:val="36"/>
          <w:szCs w:val="36"/>
        </w:rPr>
        <w:t>─</w:t>
      </w:r>
    </w:p>
    <w:p w:rsidR="00000000" w:rsidDel="00000000" w:rsidRDefault="00000000" w14:paraId="00000005"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Heading1"/>
        <w:rPr>
          <w:color w:val="FF5E0E"/>
        </w:rPr>
      </w:pPr>
      <w:bookmarkStart w:colFirst="0" w:colLast="0" w:name="_pmazbh81wixz" w:id="2"/>
      <w:bookmarkEnd w:id="2"/>
      <w:r w:rsidR="00000000" w:rsidDel="00000000" w:rsidRPr="00000000">
        <w:rPr>
          <w:rtl w:val="0"/>
        </w:rPr>
        <w:t>Geschiedenis</w:t>
      </w:r>
      <w:r w:rsidR="00000000" w:rsidDel="00000000" w:rsidRPr="00000000">
        <w:rPr>
          <w:rtl w:val="0"/>
        </w:rPr>
      </w:r>
    </w:p>
    <w:p w:rsidR="00000000" w:rsidDel="00000000" w:rsidRDefault="00000000" w14:paraId="00000006"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pPr>
      <w:r w:rsidR="00000000" w:rsidDel="00000000" w:rsidRPr="00000000">
        <w:rPr>
          <w:rtl w:val="0"/>
        </w:rPr>
        <w:t>Wat is geschiedenis eigenlijk en waarom is geschiedenis belangrijk?</w:t>
      </w:r>
    </w:p>
    <w:p w:rsidR="00000000" w:rsidDel="00000000" w:rsidRDefault="00000000" w14:paraId="00000007"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pPr>
      <w:r w:rsidR="00000000" w:rsidDel="00000000" w:rsidRPr="00000000">
        <w:rPr>
          <w:rtl w:val="0"/>
        </w:rPr>
        <w:t xml:space="preserve">Bij geschiedenis kijken we naar het verleden, dus we kijken naar wat er vroeger gebeurd is. Als men de geschiedenis kent, dan begrijpt men de wereld van vandaag beter. </w:t>
      </w:r>
    </w:p>
    <w:p w:rsidR="00000000" w:rsidDel="00000000" w:rsidRDefault="00000000" w14:paraId="00000008"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pPr>
      <w:r w:rsidR="00000000" w:rsidDel="00000000" w:rsidRPr="00000000">
        <w:rPr>
          <w:rtl w:val="0"/>
        </w:rPr>
      </w:r>
    </w:p>
    <w:p w:rsidR="00000000" w:rsidDel="00000000" w:rsidRDefault="00000000" w14:paraId="00000009"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pPr>
      <w:r w:rsidR="00000000" w:rsidDel="00000000" w:rsidRPr="00000000">
        <w:rPr>
          <w:rtl w:val="0"/>
        </w:rPr>
        <w:t xml:space="preserve">We weten wat er in de geschiedenis is gebeurt, door middel van bronnen. Bronnen geven ons informatie over hoe mensen vroeger leefden, wat zij belangrijk vonden, wat er om hun heen gebeurd enzovoort. </w:t>
      </w:r>
    </w:p>
    <w:p w:rsidR="00000000" w:rsidDel="00000000" w:rsidRDefault="00000000" w14:paraId="0000000A"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pPr>
      <w:r w:rsidR="00000000" w:rsidDel="00000000" w:rsidRPr="00000000">
        <w:rPr>
          <w:rtl w:val="0"/>
        </w:rPr>
      </w:r>
    </w:p>
    <w:p w:rsidR="00000000" w:rsidDel="00000000" w:rsidRDefault="00000000" w14:paraId="0000000B"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pPr>
      <w:r w:rsidR="00000000" w:rsidDel="00000000" w:rsidRPr="00000000">
        <w:rPr>
          <w:rtl w:val="0"/>
        </w:rPr>
        <w:t xml:space="preserve">Er zijn twee soorten bronnen. Ongeschreven bronnen en geschreven bronnen. </w:t>
      </w:r>
    </w:p>
    <w:p w:rsidR="00000000" w:rsidDel="00000000" w:rsidRDefault="00000000" w14:paraId="0000000C"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pPr>
      <w:r w:rsidR="00000000" w:rsidDel="00000000" w:rsidRPr="00000000">
        <w:rPr>
          <w:rtl w:val="0"/>
        </w:rPr>
        <w:t>Ongeschreven bronnen zijn bronnen die niet opgeschreven zijn. Dus voorwerpen en mondeling overgebrachte verhalen, zijn ongeschreven bronnen.</w:t>
      </w:r>
    </w:p>
    <w:p w:rsidR="00000000" w:rsidDel="00000000" w:rsidRDefault="00000000" w14:paraId="0000000D"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pPr>
      <w:r w:rsidR="00000000" w:rsidDel="00000000" w:rsidRPr="00000000">
        <w:rPr>
          <w:rtl w:val="0"/>
        </w:rPr>
        <w:t>Geschreven zijn teksten van vroeger, die gevonden zijn. Dus de informatie is opgeschreven.</w:t>
      </w:r>
    </w:p>
    <w:p w:rsidR="00000000" w:rsidDel="00000000" w:rsidRDefault="00000000" w14:paraId="0000000E"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pPr>
      <w:r w:rsidR="00000000" w:rsidDel="00000000" w:rsidRPr="00000000">
        <w:rPr>
          <w:rtl w:val="0"/>
        </w:rPr>
      </w:r>
    </w:p>
    <w:p w:rsidR="00000000" w:rsidDel="00000000" w:rsidRDefault="00000000" w14:paraId="0000000F"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pPr>
      <w:r w:rsidR="00000000" w:rsidDel="00000000" w:rsidRPr="00000000">
        <w:rPr>
          <w:rtl w:val="0"/>
        </w:rPr>
      </w:r>
    </w:p>
    <w:p w:rsidR="00000000" w:rsidDel="00000000" w:rsidRDefault="00000000" w14:paraId="00000010"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pPr>
      <w:r>
        <w:rPr>
          <w:noProof/>
        </w:rPr>
        <w:drawing>
          <wp:inline distB="114300" distL="114300" distR="114300" distT="114300">
            <wp:extent cx="3519170" cy="2578735"/>
            <wp:effectExtent b="0" l="0" r="0" t="0"/>
            <wp:docPr id="2" name="image1.jpg"/>
            <a:graphic>
              <a:graphicData uri="http://schemas.openxmlformats.org/drawingml/2006/picture">
                <pic:pic>
                  <pic:nvPicPr>
                    <pic:cNvPr id="0" name="image1.jpg"/>
                    <pic:cNvPicPr preferRelativeResize="0"/>
                  </pic:nvPicPr>
                  <pic:blipFill>
                    <a:blip r:embed="rId12"/>
                    <a:srcRect/>
                    <a:stretch>
                      <a:fillRect/>
                    </a:stretch>
                  </pic:blipFill>
                  <pic:spPr>
                    <a:xfrm>
                      <a:off x="0" y="0"/>
                      <a:ext cx="3519488" cy="2579166"/>
                    </a:xfrm>
                    <a:prstGeom prst="rect"/>
                    <a:ln/>
                  </pic:spPr>
                </pic:pic>
              </a:graphicData>
            </a:graphic>
          </wp:inline>
        </w:drawing>
      </w:r>
      <w:r w:rsidR="00000000" w:rsidDel="00000000" w:rsidRPr="00000000">
        <w:rPr>
          <w:rtl w:val="0"/>
        </w:rPr>
      </w:r>
    </w:p>
    <w:p>
      <w:pPr>
        <w:pBdr>
          <w:top w:val="nil" w:sz="0" w:color="auto" w:space="0"/>
          <w:bottom w:val="nil" w:sz="0" w:color="auto" w:space="0"/>
          <w:left w:val="nil" w:sz="0" w:color="auto" w:space="0"/>
          <w:right w:val="nil" w:sz="0" w:color="auto" w:space="0"/>
          <w:between w:val="nil" w:sz="0" w:color="auto" w:space="0"/>
        </w:pBdr>
        <w:shd w:fill="auto"/>
        <w:pStyle w:val="Heading1"/>
      </w:pPr>
      <w:r/>
    </w:p>
    <w:p w:rsidR="00000000" w:rsidDel="00000000" w:rsidRDefault="00000000" w14:paraId="00000011"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Heading1"/>
        <w:rPr>
          <w:color w:val="008575"/>
          <w:sz w:val="36"/>
          <w:szCs w:val="36"/>
        </w:rPr>
      </w:pPr>
      <w:bookmarkStart w:colFirst="0" w:colLast="0" w:name="_3at9u9s4e0vp" w:id="3"/>
      <w:bookmarkEnd w:id="3"/>
      <w:r w:rsidR="00000000" w:rsidDel="00000000" w:rsidRPr="00000000">
        <w:rPr>
          <w:rtl w:val="0"/>
        </w:rPr>
        <w:t>De Prehistorie</w:t>
      </w:r>
      <w:r w:rsidR="00000000" w:rsidDel="00000000" w:rsidRPr="00000000">
        <w:rPr>
          <w:rtl w:val="0"/>
        </w:rPr>
      </w:r>
    </w:p>
    <w:p w:rsidR="00000000" w:rsidDel="00000000" w:rsidRDefault="00000000" w14:paraId="00000012" w:rsidP="00000000" w:rsidRPr="00000000">
      <w:pPr>
        <w:pBdr>
          <w:top w:val="nil" w:sz="0" w:color="auto" w:space="0"/>
          <w:bottom w:val="nil" w:sz="0" w:color="auto" w:space="0"/>
          <w:left w:val="nil" w:sz="0" w:color="auto" w:space="0"/>
          <w:right w:val="nil" w:sz="0" w:color="auto" w:space="0"/>
          <w:between w:val="nil" w:sz="0" w:color="auto" w:space="0"/>
        </w:pBdr>
        <w:shd w:fill="auto" w:val="clear"/>
        <w:ind w:left="0"/>
        <w:ind w:firstLine="0"/>
      </w:pPr>
      <w:r w:rsidR="00000000" w:rsidDel="00000000" w:rsidRPr="00000000">
        <w:rPr>
          <w:rtl w:val="0"/>
        </w:rPr>
        <w:t xml:space="preserve">Er zijn dus twee soorten bronnen. Tijdens de prehistorie zijn er ongeschreven bronnen gevonden. Het schrift was in deze tijd nog niet uitgevonden. Alles wat voor het schrift gebeurde noemen we dus prehistorie. Of te wel de periode voor het schrift (voorgeschiedenis). </w:t>
      </w:r>
      <w:r w:rsidR="00000000" w:rsidDel="00000000" w:rsidRPr="00000000">
        <w:rPr>
          <w:rtl w:val="0"/>
        </w:rPr>
      </w:r>
    </w:p>
    <w:p w:rsidR="00000000" w:rsidDel="00000000" w:rsidRDefault="00000000" w14:paraId="00000013"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Heading1"/>
      </w:pPr>
      <w:bookmarkStart w:colFirst="0" w:colLast="0" w:name="_izh0w05mz75r" w:id="4"/>
      <w:bookmarkEnd w:id="4"/>
      <w:r w:rsidR="00000000" w:rsidDel="00000000" w:rsidRPr="00000000">
        <w:rPr>
          <w:rtl w:val="0"/>
        </w:rPr>
        <w:t>Jagers en verzamelaars</w:t>
      </w:r>
      <w:r w:rsidR="00000000" w:rsidDel="00000000" w:rsidRPr="00000000">
        <w:rPr>
          <w:rtl w:val="0"/>
        </w:rPr>
      </w:r>
    </w:p>
    <w:p w:rsidR="00000000" w:rsidDel="00000000" w:rsidRDefault="00000000" w14:paraId="00000014" w:rsidP="00000000" w:rsidRPr="00000000">
      <w:pPr>
        <w:pBdr>
          <w:top w:val="nil" w:sz="0" w:color="auto" w:space="0"/>
          <w:bottom w:val="nil" w:sz="0" w:color="auto" w:space="0"/>
          <w:left w:val="nil" w:sz="0" w:color="auto" w:space="0"/>
          <w:right w:val="nil" w:sz="0" w:color="auto" w:space="0"/>
          <w:between w:val="nil" w:sz="0" w:color="auto" w:space="0"/>
        </w:pBdr>
        <w:shd w:fill="auto" w:val="clear"/>
        <w:ind w:left="0"/>
        <w:ind w:firstLine="0"/>
      </w:pPr>
      <w:r w:rsidR="00000000" w:rsidDel="00000000" w:rsidRPr="00000000">
        <w:rPr>
          <w:rtl w:val="0"/>
        </w:rPr>
        <w:t xml:space="preserve">In de prehistorie leefden de mensen vooral van de jacht en verzamelen van eetbare planten. De mensen in deze tijd werden dan ook jagers en verzamelaars genoemd. Dit noemen we ook wel middelen van bestaan. Dit is de manier waarop mensen zich in leven houden. Jager-verzamelaars houden zich dus in leven door te jagen op en verzamelen van voedsel. </w:t>
      </w:r>
    </w:p>
    <w:p w:rsidR="00000000" w:rsidDel="00000000" w:rsidRDefault="00000000" w14:paraId="00000015" w:rsidP="00000000" w:rsidRPr="00000000">
      <w:pPr>
        <w:pBdr>
          <w:top w:val="nil" w:sz="0" w:color="auto" w:space="0"/>
          <w:bottom w:val="nil" w:sz="0" w:color="auto" w:space="0"/>
          <w:left w:val="nil" w:sz="0" w:color="auto" w:space="0"/>
          <w:right w:val="nil" w:sz="0" w:color="auto" w:space="0"/>
          <w:between w:val="nil" w:sz="0" w:color="auto" w:space="0"/>
        </w:pBdr>
        <w:shd w:fill="auto" w:val="clear"/>
        <w:ind w:left="0"/>
        <w:ind w:firstLine="0"/>
      </w:pPr>
      <w:r w:rsidR="00000000" w:rsidDel="00000000" w:rsidRPr="00000000">
        <w:rPr>
          <w:rtl w:val="0"/>
        </w:rPr>
        <w:t xml:space="preserve">Wanneer het voedsel op is, vertrekken de mensen in kleine groepen naar een ander gebied waar voedsel is. Jager-verzamelaars worden dan ook nomaden genoemd omdat, zij niet op een vaste plaats wonen. </w:t>
      </w:r>
    </w:p>
    <w:p w:rsidR="00000000" w:rsidDel="00000000" w:rsidRDefault="00000000" w14:paraId="00000016" w:rsidP="00000000" w:rsidRPr="00000000">
      <w:pPr>
        <w:pBdr>
          <w:top w:val="nil" w:sz="0" w:color="auto" w:space="0"/>
          <w:bottom w:val="nil" w:sz="0" w:color="auto" w:space="0"/>
          <w:left w:val="nil" w:sz="0" w:color="auto" w:space="0"/>
          <w:right w:val="nil" w:sz="0" w:color="auto" w:space="0"/>
          <w:between w:val="nil" w:sz="0" w:color="auto" w:space="0"/>
        </w:pBdr>
        <w:shd w:fill="auto" w:val="clear"/>
        <w:ind w:left="0"/>
        <w:ind w:firstLine="0"/>
      </w:pPr>
      <w:r w:rsidR="00000000" w:rsidDel="00000000" w:rsidRPr="00000000">
        <w:rPr>
          <w:rtl w:val="0"/>
        </w:rPr>
        <w:t>Er was een duidelijke taakverdeling. De mannen jaagden en de vrouwen verzamelden allerlei eetbare planten en noten. Daarnaast moesten de vrouwen zorgen voor de kinderen.</w:t>
      </w:r>
    </w:p>
    <w:p w:rsidR="00000000" w:rsidDel="00000000" w:rsidRDefault="00000000" w14:paraId="00000017" w:rsidP="00000000" w:rsidRPr="00000000">
      <w:pPr>
        <w:pBdr>
          <w:top w:val="nil" w:sz="0" w:color="auto" w:space="0"/>
          <w:bottom w:val="nil" w:sz="0" w:color="auto" w:space="0"/>
          <w:left w:val="nil" w:sz="0" w:color="auto" w:space="0"/>
          <w:right w:val="nil" w:sz="0" w:color="auto" w:space="0"/>
          <w:between w:val="nil" w:sz="0" w:color="auto" w:space="0"/>
        </w:pBdr>
        <w:shd w:fill="auto" w:val="clear"/>
        <w:ind w:left="0"/>
        <w:ind w:firstLine="0"/>
      </w:pPr>
      <w:r w:rsidR="00000000" w:rsidDel="00000000" w:rsidRPr="00000000">
        <w:rPr>
          <w:rtl w:val="0"/>
        </w:rPr>
      </w:r>
    </w:p>
    <w:sectPr w:val="1">
      <w:headerReference r:id="rId9" w:type="first"/>
      <w:headerReference r:id="rId8" w:type="default"/>
      <w:footerReference r:id="rId10" w:type="first"/>
      <w:pgNumType w:start="1"/>
      <w:pgSz w:w="12240" w:h="15840" w:orient="portrait"/>
      <w:pgMar w:left="1440" w:right="1440" w:top="1080" w:bottom="1080" w:header="0" w:footer="720"/>
      <w:titlePg/>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Trebuchet MS"/>
  <w:font w:name="Arial Unicode MS"/>
  <w:font w:name="PT Sans Narrow">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Calibri"/>
  <w:font w:name="Cambria"/>
  <w:font w:name="Symbol"/>
  <w:font w:name="Courier New"/>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3"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121982">
    <w:multiLevelType w:val="hybridMultilevel"/>
    <w:lvl w:ilvl="0">
      <w:numFmt w:val="bullet"/>
      <w:lvlText w:val=""/>
      <w:start w:val="0"/>
      <w:rPr>
        <w:rFonts w:ascii="Symbol" w:hAnsi="Symbol"/>
      </w:rPr>
      <w:pPr>
        <w:ind w:left="720"/>
        <w:ind w:hanging="360"/>
      </w:pPr>
    </w:lvl>
    <w:lvl w:ilvl="1">
      <w:numFmt w:val="bullet"/>
      <w:lvlText w:val="o"/>
      <w:start w:val="0"/>
      <w:rPr>
        <w:rFonts w:ascii="Courier New" w:hAnsi="Courier New"/>
      </w:rPr>
      <w:pPr>
        <w:ind w:left="1440"/>
        <w:ind w:hanging="1080"/>
      </w:pPr>
    </w:lvl>
    <w:lvl w:ilvl="2">
      <w:numFmt w:val="bullet"/>
      <w:lvlText w:val=""/>
      <w:start w:val="0"/>
      <w:rPr/>
      <w:pPr>
        <w:ind w:left="2160"/>
        <w:ind w:hanging="1800"/>
      </w:pPr>
    </w:lvl>
    <w:lvl w:ilvl="3">
      <w:numFmt w:val="bullet"/>
      <w:lvlText w:val=""/>
      <w:start w:val="0"/>
      <w:rPr>
        <w:rFonts w:ascii="Symbol" w:hAnsi="Symbol"/>
      </w:rPr>
      <w:pPr>
        <w:ind w:left="2880"/>
        <w:ind w:hanging="2520"/>
      </w:pPr>
    </w:lvl>
    <w:lvl w:ilvl="4">
      <w:numFmt w:val="bullet"/>
      <w:lvlText w:val="o"/>
      <w:start w:val="0"/>
      <w:rPr>
        <w:rFonts w:ascii="Courier New" w:hAnsi="Courier New"/>
      </w:rPr>
      <w:pPr>
        <w:ind w:left="3600"/>
        <w:ind w:hanging="3240"/>
      </w:pPr>
    </w:lvl>
    <w:lvl w:ilvl="5">
      <w:numFmt w:val="bullet"/>
      <w:lvlText w:val=""/>
      <w:start w:val="0"/>
      <w:rPr/>
      <w:pPr>
        <w:ind w:left="4320"/>
        <w:ind w:hanging="3960"/>
      </w:pPr>
    </w:lvl>
    <w:lvl w:ilvl="6">
      <w:numFmt w:val="bullet"/>
      <w:lvlText w:val=""/>
      <w:start w:val="0"/>
      <w:rPr>
        <w:rFonts w:ascii="Symbol" w:hAnsi="Symbol"/>
      </w:rPr>
      <w:pPr>
        <w:ind w:left="5040"/>
        <w:ind w:hanging="4680"/>
      </w:pPr>
    </w:lvl>
    <w:lvl w:ilvl="7">
      <w:numFmt w:val="bullet"/>
      <w:lvlText w:val="o"/>
      <w:start w:val="0"/>
      <w:rPr>
        <w:rFonts w:ascii="Courier New" w:hAnsi="Courier New"/>
      </w:rPr>
      <w:pPr>
        <w:ind w:left="5760"/>
        <w:ind w:hanging="5400"/>
      </w:pPr>
    </w:lvl>
    <w:lvl w:ilvl="8">
      <w:numFmt w:val="bullet"/>
      <w:lvlText w:val=""/>
      <w:start w:val="0"/>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0121982">
    <w:abstractNumId w:val="10121982"/>
  </w:num>
  <w:num w:numId="10121983">
    <w:abstractNumId w:val="10121983"/>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rsid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nl"/>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rPr>
      <w:rFonts w:ascii="PT Sans Narrow" w:cs="PT Sans Narrow" w:eastAsia="PT Sans Narrow" w:hAnsi="PT Sans Narrow"/>
      <w:color w:val="008575"/>
      <w:sz w:val="32"/>
      <w:szCs w:val="32"/>
    </w:rPr>
  </w:style>
  <w:style w:type="paragraph" w:styleId="Heading3">
    <w:name w:val="heading 3"/>
    <w:basedOn w:val="Normal"/>
    <w:next w:val="Normal"/>
    <w:pPr>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jpg"/><Relationship Id="rId8" Type="http://schemas.openxmlformats.org/officeDocument/2006/relationships/header" Target="header1.xml"/><Relationship Id="rId11" Type="http://schemas.openxmlformats.org/officeDocument/2006/relationships/image" Target="media/image2.png"/><Relationship Id="rId12"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