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C7F23" w14:textId="77777777" w:rsidR="00AC4D93" w:rsidRPr="00AC4D93" w:rsidRDefault="00AC4D93" w:rsidP="00AC4D93">
      <w:pPr>
        <w:pStyle w:val="Kop2"/>
        <w:rPr>
          <w:rFonts w:asciiTheme="minorHAnsi" w:hAnsiTheme="minorHAnsi" w:cstheme="minorHAnsi"/>
          <w:sz w:val="24"/>
          <w:szCs w:val="24"/>
        </w:rPr>
      </w:pPr>
      <w:r w:rsidRPr="00AC4D93">
        <w:rPr>
          <w:rFonts w:asciiTheme="minorHAnsi" w:hAnsiTheme="minorHAnsi" w:cstheme="minorHAnsi"/>
          <w:sz w:val="24"/>
          <w:szCs w:val="24"/>
        </w:rPr>
        <w:t>Ondernemerscompetenties (zie bijlage)</w:t>
      </w:r>
    </w:p>
    <w:p w14:paraId="55C1383E" w14:textId="429D3175" w:rsidR="00AC4D93" w:rsidRPr="00AC4D93" w:rsidRDefault="00AC4D93" w:rsidP="00AC4D93">
      <w:pPr>
        <w:rPr>
          <w:rFonts w:cstheme="minorHAnsi"/>
          <w:sz w:val="24"/>
          <w:szCs w:val="24"/>
        </w:rPr>
      </w:pPr>
      <w:r w:rsidRPr="00AC4D93">
        <w:rPr>
          <w:rFonts w:cstheme="minorHAnsi"/>
          <w:sz w:val="24"/>
          <w:szCs w:val="24"/>
        </w:rPr>
        <w:t>Lees de ondernemerscompetenties nog eens goed door. Kruis hieronder aan waar je staat in je ontwikkeling met betrekking tot de bijbehorende ondernemerscompetentie.</w:t>
      </w:r>
    </w:p>
    <w:tbl>
      <w:tblPr>
        <w:tblW w:w="9549" w:type="dxa"/>
        <w:tblCellMar>
          <w:left w:w="70" w:type="dxa"/>
          <w:right w:w="70" w:type="dxa"/>
        </w:tblCellMar>
        <w:tblLook w:val="04A0" w:firstRow="1" w:lastRow="0" w:firstColumn="1" w:lastColumn="0" w:noHBand="0" w:noVBand="1"/>
      </w:tblPr>
      <w:tblGrid>
        <w:gridCol w:w="2380"/>
        <w:gridCol w:w="508"/>
        <w:gridCol w:w="486"/>
        <w:gridCol w:w="486"/>
        <w:gridCol w:w="486"/>
        <w:gridCol w:w="551"/>
        <w:gridCol w:w="456"/>
        <w:gridCol w:w="402"/>
        <w:gridCol w:w="402"/>
        <w:gridCol w:w="402"/>
        <w:gridCol w:w="474"/>
        <w:gridCol w:w="529"/>
        <w:gridCol w:w="494"/>
        <w:gridCol w:w="494"/>
        <w:gridCol w:w="494"/>
        <w:gridCol w:w="505"/>
      </w:tblGrid>
      <w:tr w:rsidR="00AC4D93" w:rsidRPr="00AC4D93" w14:paraId="30E9570A" w14:textId="77777777" w:rsidTr="00FB42AA">
        <w:trPr>
          <w:trHeight w:val="264"/>
        </w:trPr>
        <w:tc>
          <w:tcPr>
            <w:tcW w:w="2380" w:type="dxa"/>
            <w:tcBorders>
              <w:top w:val="nil"/>
              <w:left w:val="nil"/>
              <w:bottom w:val="nil"/>
              <w:right w:val="nil"/>
            </w:tcBorders>
            <w:shd w:val="clear" w:color="auto" w:fill="auto"/>
            <w:noWrap/>
            <w:vAlign w:val="bottom"/>
            <w:hideMark/>
          </w:tcPr>
          <w:p w14:paraId="04A37982" w14:textId="77777777" w:rsidR="00AC4D93" w:rsidRPr="00AC4D93" w:rsidRDefault="00AC4D93" w:rsidP="00FB42AA">
            <w:pPr>
              <w:spacing w:after="0" w:line="240" w:lineRule="auto"/>
              <w:rPr>
                <w:rFonts w:eastAsia="Times New Roman" w:cstheme="minorHAnsi"/>
                <w:sz w:val="24"/>
                <w:szCs w:val="24"/>
                <w:lang w:eastAsia="nl-NL"/>
              </w:rPr>
            </w:pPr>
          </w:p>
        </w:tc>
        <w:tc>
          <w:tcPr>
            <w:tcW w:w="2517" w:type="dxa"/>
            <w:gridSpan w:val="5"/>
            <w:tcBorders>
              <w:top w:val="nil"/>
              <w:left w:val="nil"/>
              <w:bottom w:val="nil"/>
              <w:right w:val="nil"/>
            </w:tcBorders>
            <w:shd w:val="clear" w:color="auto" w:fill="auto"/>
            <w:noWrap/>
            <w:vAlign w:val="bottom"/>
            <w:hideMark/>
          </w:tcPr>
          <w:p w14:paraId="0E792701"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Basisvaardigheden</w:t>
            </w:r>
          </w:p>
        </w:tc>
        <w:tc>
          <w:tcPr>
            <w:tcW w:w="2136" w:type="dxa"/>
            <w:gridSpan w:val="5"/>
            <w:tcBorders>
              <w:top w:val="nil"/>
              <w:left w:val="nil"/>
              <w:bottom w:val="nil"/>
              <w:right w:val="nil"/>
            </w:tcBorders>
            <w:shd w:val="clear" w:color="auto" w:fill="auto"/>
            <w:noWrap/>
            <w:vAlign w:val="bottom"/>
            <w:hideMark/>
          </w:tcPr>
          <w:p w14:paraId="58D9FC5F"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 xml:space="preserve">Professional </w:t>
            </w:r>
          </w:p>
        </w:tc>
        <w:tc>
          <w:tcPr>
            <w:tcW w:w="2516" w:type="dxa"/>
            <w:gridSpan w:val="5"/>
            <w:tcBorders>
              <w:top w:val="nil"/>
              <w:left w:val="nil"/>
              <w:bottom w:val="nil"/>
              <w:right w:val="nil"/>
            </w:tcBorders>
            <w:shd w:val="clear" w:color="auto" w:fill="auto"/>
            <w:noWrap/>
            <w:vAlign w:val="bottom"/>
            <w:hideMark/>
          </w:tcPr>
          <w:p w14:paraId="3DB3AC64"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Expert</w:t>
            </w:r>
          </w:p>
        </w:tc>
      </w:tr>
      <w:tr w:rsidR="00AC4D93" w:rsidRPr="00AC4D93" w14:paraId="605F1967" w14:textId="77777777" w:rsidTr="00FB42AA">
        <w:trPr>
          <w:trHeight w:val="264"/>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02BCE4E4" w14:textId="77777777" w:rsidR="00AC4D93" w:rsidRPr="00AC4D93" w:rsidRDefault="00AC4D93" w:rsidP="00FB42AA">
            <w:pPr>
              <w:spacing w:after="0" w:line="240" w:lineRule="auto"/>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Competenties</w:t>
            </w:r>
          </w:p>
        </w:tc>
        <w:tc>
          <w:tcPr>
            <w:tcW w:w="508" w:type="dxa"/>
            <w:tcBorders>
              <w:top w:val="nil"/>
              <w:left w:val="nil"/>
              <w:bottom w:val="single" w:sz="4" w:space="0" w:color="auto"/>
              <w:right w:val="nil"/>
            </w:tcBorders>
            <w:shd w:val="clear" w:color="000000" w:fill="F8696B"/>
            <w:noWrap/>
            <w:vAlign w:val="bottom"/>
            <w:hideMark/>
          </w:tcPr>
          <w:p w14:paraId="23A5B288"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1</w:t>
            </w:r>
          </w:p>
        </w:tc>
        <w:tc>
          <w:tcPr>
            <w:tcW w:w="486" w:type="dxa"/>
            <w:tcBorders>
              <w:top w:val="nil"/>
              <w:left w:val="nil"/>
              <w:bottom w:val="single" w:sz="4" w:space="0" w:color="auto"/>
              <w:right w:val="nil"/>
            </w:tcBorders>
            <w:shd w:val="clear" w:color="000000" w:fill="F97B6E"/>
            <w:noWrap/>
            <w:vAlign w:val="bottom"/>
            <w:hideMark/>
          </w:tcPr>
          <w:p w14:paraId="26BECBA0"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2</w:t>
            </w:r>
          </w:p>
        </w:tc>
        <w:tc>
          <w:tcPr>
            <w:tcW w:w="486" w:type="dxa"/>
            <w:tcBorders>
              <w:top w:val="nil"/>
              <w:left w:val="nil"/>
              <w:bottom w:val="single" w:sz="4" w:space="0" w:color="auto"/>
              <w:right w:val="nil"/>
            </w:tcBorders>
            <w:shd w:val="clear" w:color="000000" w:fill="FA8E72"/>
            <w:noWrap/>
            <w:vAlign w:val="bottom"/>
            <w:hideMark/>
          </w:tcPr>
          <w:p w14:paraId="009676CC"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3</w:t>
            </w:r>
          </w:p>
        </w:tc>
        <w:tc>
          <w:tcPr>
            <w:tcW w:w="486" w:type="dxa"/>
            <w:tcBorders>
              <w:top w:val="nil"/>
              <w:left w:val="nil"/>
              <w:bottom w:val="single" w:sz="4" w:space="0" w:color="auto"/>
              <w:right w:val="nil"/>
            </w:tcBorders>
            <w:shd w:val="clear" w:color="000000" w:fill="FBA075"/>
            <w:noWrap/>
            <w:vAlign w:val="bottom"/>
            <w:hideMark/>
          </w:tcPr>
          <w:p w14:paraId="27581008"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4</w:t>
            </w:r>
          </w:p>
        </w:tc>
        <w:tc>
          <w:tcPr>
            <w:tcW w:w="551" w:type="dxa"/>
            <w:tcBorders>
              <w:top w:val="nil"/>
              <w:left w:val="nil"/>
              <w:bottom w:val="single" w:sz="4" w:space="0" w:color="auto"/>
              <w:right w:val="nil"/>
            </w:tcBorders>
            <w:shd w:val="clear" w:color="000000" w:fill="FCB379"/>
            <w:noWrap/>
            <w:vAlign w:val="bottom"/>
            <w:hideMark/>
          </w:tcPr>
          <w:p w14:paraId="786BC4EB"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5</w:t>
            </w:r>
          </w:p>
        </w:tc>
        <w:tc>
          <w:tcPr>
            <w:tcW w:w="456" w:type="dxa"/>
            <w:tcBorders>
              <w:top w:val="nil"/>
              <w:left w:val="single" w:sz="12" w:space="0" w:color="auto"/>
              <w:bottom w:val="single" w:sz="4" w:space="0" w:color="auto"/>
              <w:right w:val="nil"/>
            </w:tcBorders>
            <w:shd w:val="clear" w:color="000000" w:fill="FDC57C"/>
            <w:noWrap/>
            <w:vAlign w:val="bottom"/>
            <w:hideMark/>
          </w:tcPr>
          <w:p w14:paraId="596E51AF"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6</w:t>
            </w:r>
          </w:p>
        </w:tc>
        <w:tc>
          <w:tcPr>
            <w:tcW w:w="402" w:type="dxa"/>
            <w:tcBorders>
              <w:top w:val="nil"/>
              <w:left w:val="nil"/>
              <w:bottom w:val="single" w:sz="4" w:space="0" w:color="auto"/>
              <w:right w:val="nil"/>
            </w:tcBorders>
            <w:shd w:val="clear" w:color="000000" w:fill="FED880"/>
            <w:noWrap/>
            <w:vAlign w:val="bottom"/>
            <w:hideMark/>
          </w:tcPr>
          <w:p w14:paraId="784094CA"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7</w:t>
            </w:r>
          </w:p>
        </w:tc>
        <w:tc>
          <w:tcPr>
            <w:tcW w:w="402" w:type="dxa"/>
            <w:tcBorders>
              <w:top w:val="nil"/>
              <w:left w:val="nil"/>
              <w:bottom w:val="single" w:sz="4" w:space="0" w:color="auto"/>
              <w:right w:val="nil"/>
            </w:tcBorders>
            <w:shd w:val="clear" w:color="000000" w:fill="FFEB84"/>
            <w:noWrap/>
            <w:vAlign w:val="bottom"/>
            <w:hideMark/>
          </w:tcPr>
          <w:p w14:paraId="60991100"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8</w:t>
            </w:r>
          </w:p>
        </w:tc>
        <w:tc>
          <w:tcPr>
            <w:tcW w:w="402" w:type="dxa"/>
            <w:tcBorders>
              <w:top w:val="nil"/>
              <w:left w:val="nil"/>
              <w:bottom w:val="single" w:sz="4" w:space="0" w:color="auto"/>
              <w:right w:val="nil"/>
            </w:tcBorders>
            <w:shd w:val="clear" w:color="000000" w:fill="E9E583"/>
            <w:noWrap/>
            <w:vAlign w:val="bottom"/>
            <w:hideMark/>
          </w:tcPr>
          <w:p w14:paraId="6B2E2482"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9</w:t>
            </w:r>
          </w:p>
        </w:tc>
        <w:tc>
          <w:tcPr>
            <w:tcW w:w="474" w:type="dxa"/>
            <w:tcBorders>
              <w:top w:val="nil"/>
              <w:left w:val="nil"/>
              <w:bottom w:val="single" w:sz="4" w:space="0" w:color="auto"/>
              <w:right w:val="nil"/>
            </w:tcBorders>
            <w:shd w:val="clear" w:color="000000" w:fill="D3DF82"/>
            <w:noWrap/>
            <w:vAlign w:val="bottom"/>
            <w:hideMark/>
          </w:tcPr>
          <w:p w14:paraId="643B8490"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10</w:t>
            </w:r>
          </w:p>
        </w:tc>
        <w:tc>
          <w:tcPr>
            <w:tcW w:w="529" w:type="dxa"/>
            <w:tcBorders>
              <w:top w:val="nil"/>
              <w:left w:val="single" w:sz="12" w:space="0" w:color="auto"/>
              <w:bottom w:val="single" w:sz="4" w:space="0" w:color="auto"/>
              <w:right w:val="nil"/>
            </w:tcBorders>
            <w:shd w:val="clear" w:color="000000" w:fill="BDD881"/>
            <w:noWrap/>
            <w:vAlign w:val="bottom"/>
            <w:hideMark/>
          </w:tcPr>
          <w:p w14:paraId="5A597389"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11</w:t>
            </w:r>
          </w:p>
        </w:tc>
        <w:tc>
          <w:tcPr>
            <w:tcW w:w="494" w:type="dxa"/>
            <w:tcBorders>
              <w:top w:val="nil"/>
              <w:left w:val="nil"/>
              <w:bottom w:val="single" w:sz="4" w:space="0" w:color="auto"/>
              <w:right w:val="nil"/>
            </w:tcBorders>
            <w:shd w:val="clear" w:color="000000" w:fill="A6D27F"/>
            <w:noWrap/>
            <w:vAlign w:val="bottom"/>
            <w:hideMark/>
          </w:tcPr>
          <w:p w14:paraId="34B225D6"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12</w:t>
            </w:r>
          </w:p>
        </w:tc>
        <w:tc>
          <w:tcPr>
            <w:tcW w:w="494" w:type="dxa"/>
            <w:tcBorders>
              <w:top w:val="nil"/>
              <w:left w:val="nil"/>
              <w:bottom w:val="single" w:sz="4" w:space="0" w:color="auto"/>
              <w:right w:val="nil"/>
            </w:tcBorders>
            <w:shd w:val="clear" w:color="000000" w:fill="90CB7E"/>
            <w:noWrap/>
            <w:vAlign w:val="bottom"/>
            <w:hideMark/>
          </w:tcPr>
          <w:p w14:paraId="31625F21"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13</w:t>
            </w:r>
          </w:p>
        </w:tc>
        <w:tc>
          <w:tcPr>
            <w:tcW w:w="494" w:type="dxa"/>
            <w:tcBorders>
              <w:top w:val="nil"/>
              <w:left w:val="nil"/>
              <w:bottom w:val="single" w:sz="4" w:space="0" w:color="auto"/>
              <w:right w:val="nil"/>
            </w:tcBorders>
            <w:shd w:val="clear" w:color="000000" w:fill="7AC57D"/>
            <w:noWrap/>
            <w:vAlign w:val="bottom"/>
            <w:hideMark/>
          </w:tcPr>
          <w:p w14:paraId="25E84D68"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14</w:t>
            </w:r>
          </w:p>
        </w:tc>
        <w:tc>
          <w:tcPr>
            <w:tcW w:w="505" w:type="dxa"/>
            <w:tcBorders>
              <w:top w:val="nil"/>
              <w:left w:val="nil"/>
              <w:bottom w:val="single" w:sz="4" w:space="0" w:color="auto"/>
              <w:right w:val="single" w:sz="4" w:space="0" w:color="auto"/>
            </w:tcBorders>
            <w:shd w:val="clear" w:color="000000" w:fill="63BE7B"/>
            <w:noWrap/>
            <w:vAlign w:val="bottom"/>
            <w:hideMark/>
          </w:tcPr>
          <w:p w14:paraId="5BEE4F25" w14:textId="77777777" w:rsidR="00AC4D93" w:rsidRPr="00AC4D93" w:rsidRDefault="00AC4D93" w:rsidP="00FB42AA">
            <w:pPr>
              <w:spacing w:after="0" w:line="240" w:lineRule="auto"/>
              <w:jc w:val="center"/>
              <w:rPr>
                <w:rFonts w:eastAsia="Times New Roman" w:cstheme="minorHAnsi"/>
                <w:b/>
                <w:bCs/>
                <w:color w:val="000000"/>
                <w:sz w:val="24"/>
                <w:szCs w:val="24"/>
                <w:lang w:eastAsia="nl-NL"/>
              </w:rPr>
            </w:pPr>
            <w:r w:rsidRPr="00AC4D93">
              <w:rPr>
                <w:rFonts w:eastAsia="Times New Roman" w:cstheme="minorHAnsi"/>
                <w:b/>
                <w:bCs/>
                <w:color w:val="000000"/>
                <w:sz w:val="24"/>
                <w:szCs w:val="24"/>
                <w:lang w:eastAsia="nl-NL"/>
              </w:rPr>
              <w:t>15</w:t>
            </w:r>
          </w:p>
        </w:tc>
      </w:tr>
      <w:tr w:rsidR="00AC4D93" w:rsidRPr="00AC4D93" w14:paraId="05305812"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3B5E71E4"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Prestatiegerichtheid</w:t>
            </w:r>
          </w:p>
        </w:tc>
        <w:tc>
          <w:tcPr>
            <w:tcW w:w="508" w:type="dxa"/>
            <w:tcBorders>
              <w:top w:val="nil"/>
              <w:left w:val="nil"/>
              <w:bottom w:val="single" w:sz="4" w:space="0" w:color="auto"/>
              <w:right w:val="single" w:sz="4" w:space="0" w:color="auto"/>
            </w:tcBorders>
            <w:shd w:val="clear" w:color="auto" w:fill="auto"/>
            <w:noWrap/>
            <w:vAlign w:val="center"/>
            <w:hideMark/>
          </w:tcPr>
          <w:p w14:paraId="3143F9C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17D1A80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6128B80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72283B4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0C76299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2C26852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5CCF40A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15F0EAF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5672CF7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0D8DB18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0FDFF20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1D544DD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463BB28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7B3DF648"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131E1C4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1E43BFD2"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2AAF5074"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Dominantie</w:t>
            </w:r>
          </w:p>
        </w:tc>
        <w:tc>
          <w:tcPr>
            <w:tcW w:w="508" w:type="dxa"/>
            <w:tcBorders>
              <w:top w:val="nil"/>
              <w:left w:val="nil"/>
              <w:bottom w:val="single" w:sz="4" w:space="0" w:color="auto"/>
              <w:right w:val="single" w:sz="4" w:space="0" w:color="auto"/>
            </w:tcBorders>
            <w:shd w:val="clear" w:color="auto" w:fill="auto"/>
            <w:noWrap/>
            <w:vAlign w:val="center"/>
            <w:hideMark/>
          </w:tcPr>
          <w:p w14:paraId="22AE488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132173C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05647CF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7B1B662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652BA0A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55BE9AC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0C43BC8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1DA4356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3FA25AC8"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52818FB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4F73FA6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2F5A633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399C087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31FEC4B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15CE168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754EB84C"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28228F4B"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Marktgerichtheid</w:t>
            </w:r>
          </w:p>
        </w:tc>
        <w:tc>
          <w:tcPr>
            <w:tcW w:w="508" w:type="dxa"/>
            <w:tcBorders>
              <w:top w:val="nil"/>
              <w:left w:val="nil"/>
              <w:bottom w:val="single" w:sz="4" w:space="0" w:color="auto"/>
              <w:right w:val="single" w:sz="4" w:space="0" w:color="auto"/>
            </w:tcBorders>
            <w:shd w:val="clear" w:color="auto" w:fill="auto"/>
            <w:noWrap/>
            <w:vAlign w:val="center"/>
            <w:hideMark/>
          </w:tcPr>
          <w:p w14:paraId="50DFE5F8"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38863E0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110556D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14E19C4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2E35E4C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64977A7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224219F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5CEA3646"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203101B6"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131B5446"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1A7CBAE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3E1AEF9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2A66F64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4B03145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5030A5A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07784BC2"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68013F42"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Flexibiliteit</w:t>
            </w:r>
          </w:p>
        </w:tc>
        <w:tc>
          <w:tcPr>
            <w:tcW w:w="508" w:type="dxa"/>
            <w:tcBorders>
              <w:top w:val="nil"/>
              <w:left w:val="nil"/>
              <w:bottom w:val="single" w:sz="4" w:space="0" w:color="auto"/>
              <w:right w:val="single" w:sz="4" w:space="0" w:color="auto"/>
            </w:tcBorders>
            <w:shd w:val="clear" w:color="auto" w:fill="auto"/>
            <w:noWrap/>
            <w:vAlign w:val="center"/>
            <w:hideMark/>
          </w:tcPr>
          <w:p w14:paraId="12E4A65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68CEFA06"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675AB9E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1E99D6B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0ECDF1A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0DBBA99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7365181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0859D9D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7A07AD0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1386CDA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358C31F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5E64E62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5FDF67A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1899201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45707D0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7EA6CC65"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2CFF1464"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Empathie</w:t>
            </w:r>
          </w:p>
        </w:tc>
        <w:tc>
          <w:tcPr>
            <w:tcW w:w="508" w:type="dxa"/>
            <w:tcBorders>
              <w:top w:val="nil"/>
              <w:left w:val="nil"/>
              <w:bottom w:val="single" w:sz="4" w:space="0" w:color="auto"/>
              <w:right w:val="single" w:sz="4" w:space="0" w:color="auto"/>
            </w:tcBorders>
            <w:shd w:val="clear" w:color="auto" w:fill="auto"/>
            <w:noWrap/>
            <w:vAlign w:val="center"/>
            <w:hideMark/>
          </w:tcPr>
          <w:p w14:paraId="50BDFBA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236CC9E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1F8B7E2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4572D3E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6138919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523763E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3200079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462FAC3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2DEF29C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4B218E2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615855F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14E7147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0007E48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49D5FE3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31860CD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6F0C4C83"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5FFC4569"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Zelfstandigheid</w:t>
            </w:r>
          </w:p>
        </w:tc>
        <w:tc>
          <w:tcPr>
            <w:tcW w:w="508" w:type="dxa"/>
            <w:tcBorders>
              <w:top w:val="nil"/>
              <w:left w:val="nil"/>
              <w:bottom w:val="single" w:sz="4" w:space="0" w:color="auto"/>
              <w:right w:val="single" w:sz="4" w:space="0" w:color="auto"/>
            </w:tcBorders>
            <w:shd w:val="clear" w:color="auto" w:fill="auto"/>
            <w:noWrap/>
            <w:vAlign w:val="center"/>
            <w:hideMark/>
          </w:tcPr>
          <w:p w14:paraId="6BFFBDC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4D1FBBE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557873A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08F95BE8"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61479A6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12FAB04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3648F48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27DA828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04CDCBC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660EA81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5B5379A8"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2C6F132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3C3F637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66D795F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77A0CE0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10C56C6E"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45E02E82"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Sociale oriëntatie</w:t>
            </w:r>
          </w:p>
        </w:tc>
        <w:tc>
          <w:tcPr>
            <w:tcW w:w="508" w:type="dxa"/>
            <w:tcBorders>
              <w:top w:val="nil"/>
              <w:left w:val="nil"/>
              <w:bottom w:val="single" w:sz="4" w:space="0" w:color="auto"/>
              <w:right w:val="single" w:sz="4" w:space="0" w:color="auto"/>
            </w:tcBorders>
            <w:shd w:val="clear" w:color="auto" w:fill="auto"/>
            <w:noWrap/>
            <w:vAlign w:val="center"/>
            <w:hideMark/>
          </w:tcPr>
          <w:p w14:paraId="446500E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71DF6E6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239C8918"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47441F6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1B76A44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31888E5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5ECA281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0C714EA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71E2408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0FD1F37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04765BF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4BB3325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349E964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42F92DB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6C5B973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4B116885"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00DD8238"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Risicobereidheid</w:t>
            </w:r>
          </w:p>
        </w:tc>
        <w:tc>
          <w:tcPr>
            <w:tcW w:w="508" w:type="dxa"/>
            <w:tcBorders>
              <w:top w:val="nil"/>
              <w:left w:val="nil"/>
              <w:bottom w:val="single" w:sz="4" w:space="0" w:color="auto"/>
              <w:right w:val="single" w:sz="4" w:space="0" w:color="auto"/>
            </w:tcBorders>
            <w:shd w:val="clear" w:color="auto" w:fill="auto"/>
            <w:noWrap/>
            <w:vAlign w:val="center"/>
            <w:hideMark/>
          </w:tcPr>
          <w:p w14:paraId="4CD9520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482D569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0E5F1DE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720AA18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1CE36886"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5B2DA43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01027D8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57971EF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5B8C42B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2EE899B6"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2C5DA12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1EFD0ED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6D2E4F1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249D76D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47E5844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7656A036"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75E39B64"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Creativiteit</w:t>
            </w:r>
          </w:p>
        </w:tc>
        <w:tc>
          <w:tcPr>
            <w:tcW w:w="508" w:type="dxa"/>
            <w:tcBorders>
              <w:top w:val="nil"/>
              <w:left w:val="nil"/>
              <w:bottom w:val="single" w:sz="4" w:space="0" w:color="auto"/>
              <w:right w:val="single" w:sz="4" w:space="0" w:color="auto"/>
            </w:tcBorders>
            <w:shd w:val="clear" w:color="auto" w:fill="auto"/>
            <w:noWrap/>
            <w:vAlign w:val="center"/>
            <w:hideMark/>
          </w:tcPr>
          <w:p w14:paraId="37CD4CC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5A084FE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0BED4AC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295B48B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2E00FE0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771D335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3646AB2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5020D36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165B074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3D325DF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504AE72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6491AB2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435F48D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397B166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42168E1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385DABBB"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744D21DD"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Pro-activiteit</w:t>
            </w:r>
          </w:p>
        </w:tc>
        <w:tc>
          <w:tcPr>
            <w:tcW w:w="508" w:type="dxa"/>
            <w:tcBorders>
              <w:top w:val="nil"/>
              <w:left w:val="nil"/>
              <w:bottom w:val="single" w:sz="4" w:space="0" w:color="auto"/>
              <w:right w:val="single" w:sz="4" w:space="0" w:color="auto"/>
            </w:tcBorders>
            <w:shd w:val="clear" w:color="auto" w:fill="auto"/>
            <w:noWrap/>
            <w:vAlign w:val="center"/>
            <w:hideMark/>
          </w:tcPr>
          <w:p w14:paraId="4E190B0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31C7F89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5F994AF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16DCEA5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341645C6"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557F8BA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191E686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3E9726B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47B5B77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214B25E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5AFA873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5822BA9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475E5DF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0A46F43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5F14B48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4E2F5DEC"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7C91E9DD"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Plannen</w:t>
            </w:r>
          </w:p>
        </w:tc>
        <w:tc>
          <w:tcPr>
            <w:tcW w:w="508" w:type="dxa"/>
            <w:tcBorders>
              <w:top w:val="nil"/>
              <w:left w:val="nil"/>
              <w:bottom w:val="single" w:sz="4" w:space="0" w:color="auto"/>
              <w:right w:val="single" w:sz="4" w:space="0" w:color="auto"/>
            </w:tcBorders>
            <w:shd w:val="clear" w:color="auto" w:fill="auto"/>
            <w:noWrap/>
            <w:vAlign w:val="center"/>
            <w:hideMark/>
          </w:tcPr>
          <w:p w14:paraId="04C5C7B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328A5CE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011B5CC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11C2AA4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740B9F9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7CF7415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34933745"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0EBC2B9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63E1B578"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64FBA67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252E165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741B21A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4FE5EF2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4314D16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10B36B7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0E44FD40"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0A32F377"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Financieel beheren</w:t>
            </w:r>
          </w:p>
        </w:tc>
        <w:tc>
          <w:tcPr>
            <w:tcW w:w="508" w:type="dxa"/>
            <w:tcBorders>
              <w:top w:val="nil"/>
              <w:left w:val="nil"/>
              <w:bottom w:val="single" w:sz="4" w:space="0" w:color="auto"/>
              <w:right w:val="single" w:sz="4" w:space="0" w:color="auto"/>
            </w:tcBorders>
            <w:shd w:val="clear" w:color="auto" w:fill="auto"/>
            <w:noWrap/>
            <w:vAlign w:val="center"/>
            <w:hideMark/>
          </w:tcPr>
          <w:p w14:paraId="5FB2CFB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69D7246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7D9D42F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151FB22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7C01B47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68752B9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7215611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3939D1F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7A39F12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1BE6983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7869CDB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0E06DD7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386B30B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0338BA7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3255525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06E5B56B" w14:textId="77777777" w:rsidTr="00FB42AA">
        <w:trPr>
          <w:trHeight w:val="312"/>
        </w:trPr>
        <w:tc>
          <w:tcPr>
            <w:tcW w:w="2380" w:type="dxa"/>
            <w:tcBorders>
              <w:top w:val="nil"/>
              <w:left w:val="single" w:sz="4" w:space="0" w:color="auto"/>
              <w:bottom w:val="nil"/>
              <w:right w:val="single" w:sz="4" w:space="0" w:color="auto"/>
            </w:tcBorders>
            <w:shd w:val="clear" w:color="auto" w:fill="auto"/>
            <w:noWrap/>
            <w:vAlign w:val="center"/>
            <w:hideMark/>
          </w:tcPr>
          <w:p w14:paraId="07B42D5C"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Zelfvertrouwen</w:t>
            </w:r>
          </w:p>
        </w:tc>
        <w:tc>
          <w:tcPr>
            <w:tcW w:w="508" w:type="dxa"/>
            <w:tcBorders>
              <w:top w:val="nil"/>
              <w:left w:val="nil"/>
              <w:bottom w:val="single" w:sz="4" w:space="0" w:color="auto"/>
              <w:right w:val="single" w:sz="4" w:space="0" w:color="auto"/>
            </w:tcBorders>
            <w:shd w:val="clear" w:color="auto" w:fill="auto"/>
            <w:noWrap/>
            <w:vAlign w:val="center"/>
            <w:hideMark/>
          </w:tcPr>
          <w:p w14:paraId="263CE33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08E65336"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0712ED0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7C1ADD2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2DA43927"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1031685C"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527D471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2B1C597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79A1724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41AA59F9"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3F4A7E3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27DA1A18"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7527D113"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138CB540"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181208B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r w:rsidR="00AC4D93" w:rsidRPr="00AC4D93" w14:paraId="0ED56D1F" w14:textId="77777777" w:rsidTr="00FB42AA">
        <w:trPr>
          <w:trHeight w:val="31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356D884A" w14:textId="77777777" w:rsidR="00AC4D93" w:rsidRPr="00AC4D93" w:rsidRDefault="00AC4D93" w:rsidP="00FB42AA">
            <w:pPr>
              <w:spacing w:after="0" w:line="240" w:lineRule="auto"/>
              <w:rPr>
                <w:rFonts w:eastAsia="Times New Roman" w:cstheme="minorHAnsi"/>
                <w:color w:val="000000"/>
                <w:sz w:val="24"/>
                <w:szCs w:val="24"/>
                <w:lang w:eastAsia="nl-NL"/>
              </w:rPr>
            </w:pPr>
            <w:r w:rsidRPr="00AC4D93">
              <w:rPr>
                <w:rFonts w:eastAsia="Times New Roman" w:cstheme="minorHAnsi"/>
                <w:color w:val="000000"/>
                <w:sz w:val="24"/>
                <w:szCs w:val="24"/>
                <w:lang w:eastAsia="nl-NL"/>
              </w:rPr>
              <w:t>Doorzettingsvermogen</w:t>
            </w:r>
          </w:p>
        </w:tc>
        <w:tc>
          <w:tcPr>
            <w:tcW w:w="508" w:type="dxa"/>
            <w:tcBorders>
              <w:top w:val="nil"/>
              <w:left w:val="nil"/>
              <w:bottom w:val="single" w:sz="4" w:space="0" w:color="auto"/>
              <w:right w:val="single" w:sz="4" w:space="0" w:color="auto"/>
            </w:tcBorders>
            <w:shd w:val="clear" w:color="auto" w:fill="auto"/>
            <w:noWrap/>
            <w:vAlign w:val="center"/>
            <w:hideMark/>
          </w:tcPr>
          <w:p w14:paraId="46123E1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44E610C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491EF3F1"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86" w:type="dxa"/>
            <w:tcBorders>
              <w:top w:val="nil"/>
              <w:left w:val="nil"/>
              <w:bottom w:val="single" w:sz="4" w:space="0" w:color="auto"/>
              <w:right w:val="single" w:sz="4" w:space="0" w:color="auto"/>
            </w:tcBorders>
            <w:shd w:val="clear" w:color="auto" w:fill="auto"/>
            <w:noWrap/>
            <w:vAlign w:val="center"/>
            <w:hideMark/>
          </w:tcPr>
          <w:p w14:paraId="4381473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51" w:type="dxa"/>
            <w:tcBorders>
              <w:top w:val="nil"/>
              <w:left w:val="nil"/>
              <w:bottom w:val="single" w:sz="4" w:space="0" w:color="auto"/>
              <w:right w:val="nil"/>
            </w:tcBorders>
            <w:shd w:val="clear" w:color="auto" w:fill="auto"/>
            <w:noWrap/>
            <w:vAlign w:val="center"/>
            <w:hideMark/>
          </w:tcPr>
          <w:p w14:paraId="519684B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56" w:type="dxa"/>
            <w:tcBorders>
              <w:top w:val="nil"/>
              <w:left w:val="single" w:sz="12" w:space="0" w:color="auto"/>
              <w:bottom w:val="single" w:sz="4" w:space="0" w:color="auto"/>
              <w:right w:val="single" w:sz="4" w:space="0" w:color="auto"/>
            </w:tcBorders>
            <w:shd w:val="clear" w:color="auto" w:fill="auto"/>
            <w:noWrap/>
            <w:vAlign w:val="center"/>
            <w:hideMark/>
          </w:tcPr>
          <w:p w14:paraId="166F2C7E"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420A8B7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2995BFE2"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02" w:type="dxa"/>
            <w:tcBorders>
              <w:top w:val="nil"/>
              <w:left w:val="nil"/>
              <w:bottom w:val="single" w:sz="4" w:space="0" w:color="auto"/>
              <w:right w:val="single" w:sz="4" w:space="0" w:color="auto"/>
            </w:tcBorders>
            <w:shd w:val="clear" w:color="auto" w:fill="auto"/>
            <w:noWrap/>
            <w:vAlign w:val="center"/>
            <w:hideMark/>
          </w:tcPr>
          <w:p w14:paraId="70EEFE8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74" w:type="dxa"/>
            <w:tcBorders>
              <w:top w:val="nil"/>
              <w:left w:val="nil"/>
              <w:bottom w:val="single" w:sz="4" w:space="0" w:color="auto"/>
              <w:right w:val="nil"/>
            </w:tcBorders>
            <w:shd w:val="clear" w:color="auto" w:fill="auto"/>
            <w:noWrap/>
            <w:vAlign w:val="center"/>
            <w:hideMark/>
          </w:tcPr>
          <w:p w14:paraId="1BA7F23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29" w:type="dxa"/>
            <w:tcBorders>
              <w:top w:val="nil"/>
              <w:left w:val="single" w:sz="12" w:space="0" w:color="auto"/>
              <w:bottom w:val="single" w:sz="4" w:space="0" w:color="auto"/>
              <w:right w:val="single" w:sz="4" w:space="0" w:color="auto"/>
            </w:tcBorders>
            <w:shd w:val="clear" w:color="auto" w:fill="auto"/>
            <w:noWrap/>
            <w:vAlign w:val="center"/>
            <w:hideMark/>
          </w:tcPr>
          <w:p w14:paraId="1504DC9D"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76902D54"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1427D57F"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494" w:type="dxa"/>
            <w:tcBorders>
              <w:top w:val="nil"/>
              <w:left w:val="nil"/>
              <w:bottom w:val="single" w:sz="4" w:space="0" w:color="auto"/>
              <w:right w:val="single" w:sz="4" w:space="0" w:color="auto"/>
            </w:tcBorders>
            <w:shd w:val="clear" w:color="auto" w:fill="auto"/>
            <w:noWrap/>
            <w:vAlign w:val="center"/>
            <w:hideMark/>
          </w:tcPr>
          <w:p w14:paraId="573624DA"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c>
          <w:tcPr>
            <w:tcW w:w="505" w:type="dxa"/>
            <w:tcBorders>
              <w:top w:val="nil"/>
              <w:left w:val="nil"/>
              <w:bottom w:val="single" w:sz="4" w:space="0" w:color="auto"/>
              <w:right w:val="single" w:sz="4" w:space="0" w:color="auto"/>
            </w:tcBorders>
            <w:shd w:val="clear" w:color="auto" w:fill="auto"/>
            <w:noWrap/>
            <w:vAlign w:val="center"/>
            <w:hideMark/>
          </w:tcPr>
          <w:p w14:paraId="5330B67B" w14:textId="77777777" w:rsidR="00AC4D93" w:rsidRPr="00AC4D93" w:rsidRDefault="00AC4D93" w:rsidP="00FB42AA">
            <w:pPr>
              <w:spacing w:after="0" w:line="240" w:lineRule="auto"/>
              <w:jc w:val="center"/>
              <w:rPr>
                <w:rFonts w:eastAsia="Times New Roman" w:cstheme="minorHAnsi"/>
                <w:color w:val="000000"/>
                <w:sz w:val="24"/>
                <w:szCs w:val="24"/>
                <w:lang w:eastAsia="nl-NL"/>
              </w:rPr>
            </w:pPr>
            <w:r w:rsidRPr="00AC4D93">
              <w:rPr>
                <w:rFonts w:eastAsia="Times New Roman" w:cstheme="minorHAnsi"/>
                <w:color w:val="000000"/>
                <w:sz w:val="24"/>
                <w:szCs w:val="24"/>
                <w:lang w:eastAsia="nl-NL"/>
              </w:rPr>
              <w:t> </w:t>
            </w:r>
          </w:p>
        </w:tc>
      </w:tr>
    </w:tbl>
    <w:p w14:paraId="68845E62" w14:textId="77777777" w:rsidR="00AC4D93" w:rsidRPr="00AC4D93" w:rsidRDefault="00AC4D93" w:rsidP="00AC4D93">
      <w:pPr>
        <w:rPr>
          <w:rFonts w:cstheme="minorHAnsi"/>
          <w:sz w:val="24"/>
          <w:szCs w:val="24"/>
        </w:rPr>
      </w:pPr>
    </w:p>
    <w:p w14:paraId="47C2A16A" w14:textId="55332C47" w:rsidR="00AC4D93" w:rsidRPr="00AC4D93" w:rsidRDefault="00AC4D93" w:rsidP="00AC4D93">
      <w:pPr>
        <w:rPr>
          <w:rFonts w:cstheme="minorHAnsi"/>
          <w:sz w:val="24"/>
          <w:szCs w:val="24"/>
        </w:rPr>
      </w:pPr>
      <w:r w:rsidRPr="00AC4D93">
        <w:rPr>
          <w:rFonts w:cstheme="minorHAnsi"/>
          <w:sz w:val="24"/>
          <w:szCs w:val="24"/>
        </w:rPr>
        <w:t>K</w:t>
      </w:r>
      <w:r w:rsidRPr="00AC4D93">
        <w:rPr>
          <w:rFonts w:cstheme="minorHAnsi"/>
          <w:sz w:val="24"/>
          <w:szCs w:val="24"/>
        </w:rPr>
        <w:t>ies tenminste 2 ondernemerscompetenties uit waarin je in komende periode jezelf graag wilt ontwikkelen. Motiveer waarom je jezelf hierin wilt te ontwikkelen.</w:t>
      </w:r>
    </w:p>
    <w:tbl>
      <w:tblPr>
        <w:tblStyle w:val="Tabelraster"/>
        <w:tblW w:w="0" w:type="auto"/>
        <w:tblLook w:val="04A0" w:firstRow="1" w:lastRow="0" w:firstColumn="1" w:lastColumn="0" w:noHBand="0" w:noVBand="1"/>
      </w:tblPr>
      <w:tblGrid>
        <w:gridCol w:w="9062"/>
      </w:tblGrid>
      <w:tr w:rsidR="00AC4D93" w:rsidRPr="00AC4D93" w14:paraId="26109082" w14:textId="77777777" w:rsidTr="00FB42AA">
        <w:tc>
          <w:tcPr>
            <w:tcW w:w="9062" w:type="dxa"/>
          </w:tcPr>
          <w:p w14:paraId="10B74AE2" w14:textId="77777777" w:rsidR="00AC4D93" w:rsidRPr="00AC4D93" w:rsidRDefault="00AC4D93" w:rsidP="00FB42AA">
            <w:pPr>
              <w:rPr>
                <w:rFonts w:cstheme="minorHAnsi"/>
                <w:sz w:val="24"/>
                <w:szCs w:val="24"/>
              </w:rPr>
            </w:pPr>
          </w:p>
          <w:p w14:paraId="62C07EBD" w14:textId="77777777" w:rsidR="00AC4D93" w:rsidRPr="00AC4D93" w:rsidRDefault="00AC4D93" w:rsidP="00FB42AA">
            <w:pPr>
              <w:rPr>
                <w:rFonts w:cstheme="minorHAnsi"/>
                <w:sz w:val="24"/>
                <w:szCs w:val="24"/>
              </w:rPr>
            </w:pPr>
          </w:p>
          <w:p w14:paraId="0DCB132C" w14:textId="77777777" w:rsidR="00AC4D93" w:rsidRPr="00AC4D93" w:rsidRDefault="00AC4D93" w:rsidP="00FB42AA">
            <w:pPr>
              <w:rPr>
                <w:rFonts w:cstheme="minorHAnsi"/>
                <w:sz w:val="24"/>
                <w:szCs w:val="24"/>
              </w:rPr>
            </w:pPr>
          </w:p>
          <w:p w14:paraId="42AB31C9" w14:textId="77777777" w:rsidR="00AC4D93" w:rsidRPr="00AC4D93" w:rsidRDefault="00AC4D93" w:rsidP="00FB42AA">
            <w:pPr>
              <w:rPr>
                <w:rFonts w:cstheme="minorHAnsi"/>
                <w:sz w:val="24"/>
                <w:szCs w:val="24"/>
              </w:rPr>
            </w:pPr>
          </w:p>
          <w:p w14:paraId="3CA1CBB4" w14:textId="77777777" w:rsidR="00AC4D93" w:rsidRPr="00AC4D93" w:rsidRDefault="00AC4D93" w:rsidP="00FB42AA">
            <w:pPr>
              <w:rPr>
                <w:rFonts w:cstheme="minorHAnsi"/>
                <w:sz w:val="24"/>
                <w:szCs w:val="24"/>
              </w:rPr>
            </w:pPr>
          </w:p>
        </w:tc>
      </w:tr>
    </w:tbl>
    <w:p w14:paraId="65A6B6E0" w14:textId="77777777" w:rsidR="00AC4D93" w:rsidRPr="00AC4D93" w:rsidRDefault="00AC4D93" w:rsidP="00AC4D93">
      <w:pPr>
        <w:rPr>
          <w:rFonts w:cstheme="minorHAnsi"/>
          <w:sz w:val="24"/>
          <w:szCs w:val="24"/>
        </w:rPr>
      </w:pPr>
    </w:p>
    <w:p w14:paraId="3FF262A9" w14:textId="5D1496E9" w:rsidR="00AC4D93" w:rsidRPr="00AC4D93" w:rsidRDefault="00AC4D93" w:rsidP="00AC4D93">
      <w:pPr>
        <w:rPr>
          <w:rFonts w:cstheme="minorHAnsi"/>
          <w:sz w:val="24"/>
          <w:szCs w:val="24"/>
        </w:rPr>
      </w:pPr>
      <w:r w:rsidRPr="00AC4D93">
        <w:rPr>
          <w:rFonts w:cstheme="minorHAnsi"/>
          <w:sz w:val="24"/>
          <w:szCs w:val="24"/>
        </w:rPr>
        <w:t>Formuleer twee leerdoelen die gaan over het ontwikkelen van de ondernemerscompetenties. Werk deze beide SMART uit.</w:t>
      </w:r>
    </w:p>
    <w:tbl>
      <w:tblPr>
        <w:tblStyle w:val="Tabelraster"/>
        <w:tblW w:w="0" w:type="auto"/>
        <w:tblLook w:val="04A0" w:firstRow="1" w:lastRow="0" w:firstColumn="1" w:lastColumn="0" w:noHBand="0" w:noVBand="1"/>
      </w:tblPr>
      <w:tblGrid>
        <w:gridCol w:w="9062"/>
      </w:tblGrid>
      <w:tr w:rsidR="00AC4D93" w:rsidRPr="00AC4D93" w14:paraId="6335B7AF" w14:textId="77777777" w:rsidTr="00FB42AA">
        <w:tc>
          <w:tcPr>
            <w:tcW w:w="9062" w:type="dxa"/>
          </w:tcPr>
          <w:p w14:paraId="50BFC596" w14:textId="77777777" w:rsidR="00AC4D93" w:rsidRPr="00AC4D93" w:rsidRDefault="00AC4D93" w:rsidP="00FB42AA">
            <w:pPr>
              <w:rPr>
                <w:rFonts w:cstheme="minorHAnsi"/>
                <w:sz w:val="24"/>
                <w:szCs w:val="24"/>
              </w:rPr>
            </w:pPr>
          </w:p>
          <w:p w14:paraId="680BDD50" w14:textId="77777777" w:rsidR="00AC4D93" w:rsidRPr="00AC4D93" w:rsidRDefault="00AC4D93" w:rsidP="00FB42AA">
            <w:pPr>
              <w:rPr>
                <w:rFonts w:cstheme="minorHAnsi"/>
                <w:sz w:val="24"/>
                <w:szCs w:val="24"/>
              </w:rPr>
            </w:pPr>
          </w:p>
          <w:p w14:paraId="2A362D64" w14:textId="77777777" w:rsidR="00AC4D93" w:rsidRPr="00AC4D93" w:rsidRDefault="00AC4D93" w:rsidP="00FB42AA">
            <w:pPr>
              <w:rPr>
                <w:rFonts w:cstheme="minorHAnsi"/>
                <w:sz w:val="24"/>
                <w:szCs w:val="24"/>
              </w:rPr>
            </w:pPr>
          </w:p>
          <w:p w14:paraId="7B781B4F" w14:textId="77777777" w:rsidR="00AC4D93" w:rsidRPr="00AC4D93" w:rsidRDefault="00AC4D93" w:rsidP="00FB42AA">
            <w:pPr>
              <w:rPr>
                <w:rFonts w:cstheme="minorHAnsi"/>
                <w:sz w:val="24"/>
                <w:szCs w:val="24"/>
              </w:rPr>
            </w:pPr>
          </w:p>
          <w:p w14:paraId="49BC9890" w14:textId="77777777" w:rsidR="00AC4D93" w:rsidRPr="00AC4D93" w:rsidRDefault="00AC4D93" w:rsidP="00FB42AA">
            <w:pPr>
              <w:rPr>
                <w:rFonts w:cstheme="minorHAnsi"/>
                <w:sz w:val="24"/>
                <w:szCs w:val="24"/>
              </w:rPr>
            </w:pPr>
          </w:p>
        </w:tc>
      </w:tr>
    </w:tbl>
    <w:p w14:paraId="27640103" w14:textId="77777777" w:rsidR="00AC4D93" w:rsidRPr="00AC4D93" w:rsidRDefault="00AC4D93" w:rsidP="00AC4D93">
      <w:pPr>
        <w:rPr>
          <w:rFonts w:cstheme="minorHAnsi"/>
          <w:sz w:val="24"/>
          <w:szCs w:val="24"/>
        </w:rPr>
      </w:pPr>
    </w:p>
    <w:p w14:paraId="4287AAFA" w14:textId="77777777" w:rsidR="00AC4D93" w:rsidRPr="00AC4D93" w:rsidRDefault="00AC4D93" w:rsidP="00AC4D93">
      <w:pPr>
        <w:rPr>
          <w:rFonts w:cstheme="minorHAnsi"/>
          <w:sz w:val="24"/>
          <w:szCs w:val="24"/>
        </w:rPr>
      </w:pPr>
    </w:p>
    <w:p w14:paraId="5BBE87D8" w14:textId="7765596A" w:rsidR="00AC4D93" w:rsidRDefault="00AC4D93">
      <w:pPr>
        <w:rPr>
          <w:rFonts w:cstheme="minorHAnsi"/>
          <w:sz w:val="24"/>
          <w:szCs w:val="24"/>
        </w:rPr>
      </w:pPr>
    </w:p>
    <w:p w14:paraId="06241E17" w14:textId="77777777" w:rsidR="00AC4D93" w:rsidRPr="00AC4D93" w:rsidRDefault="00AC4D93">
      <w:pPr>
        <w:rPr>
          <w:rFonts w:cstheme="minorHAnsi"/>
          <w:sz w:val="24"/>
          <w:szCs w:val="24"/>
        </w:rPr>
      </w:pPr>
    </w:p>
    <w:p w14:paraId="0C37FBAD"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lastRenderedPageBreak/>
        <w:t xml:space="preserve">Bijlage: </w:t>
      </w:r>
      <w:proofErr w:type="spellStart"/>
      <w:r w:rsidRPr="00AC4D93">
        <w:rPr>
          <w:rFonts w:asciiTheme="minorHAnsi" w:hAnsiTheme="minorHAnsi" w:cstheme="minorHAnsi"/>
          <w:b/>
          <w:bCs/>
          <w:color w:val="auto"/>
        </w:rPr>
        <w:t>ondernemerscompentities</w:t>
      </w:r>
      <w:proofErr w:type="spellEnd"/>
      <w:r w:rsidRPr="00AC4D93">
        <w:rPr>
          <w:rFonts w:asciiTheme="minorHAnsi" w:hAnsiTheme="minorHAnsi" w:cstheme="minorHAnsi"/>
          <w:b/>
          <w:bCs/>
          <w:color w:val="auto"/>
        </w:rPr>
        <w:t xml:space="preserve">  </w:t>
      </w:r>
    </w:p>
    <w:p w14:paraId="5ABEC090" w14:textId="77777777" w:rsidR="00AC4D93" w:rsidRPr="00AC4D93" w:rsidRDefault="00AC4D93" w:rsidP="00AC4D93">
      <w:pPr>
        <w:rPr>
          <w:rFonts w:cstheme="minorHAnsi"/>
          <w:sz w:val="24"/>
          <w:szCs w:val="24"/>
        </w:rPr>
      </w:pPr>
    </w:p>
    <w:p w14:paraId="62EE2E4D"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Prestatiegerichtheid</w:t>
      </w:r>
    </w:p>
    <w:p w14:paraId="66731F94"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Ondernemende mensen zijn prestatiegericht. Dat wil zeggen: zij streven doelgericht naar een prestatie en gaan daarbij zo nodig de strijd met anderen aan. Met veel wilskracht en energie werken ze naar een duidelijk doel toe. Zij willen steeds meer presteren door alles zo goed mogelijk te doen. Daarvoor leggen de lat voor zichzelf steeds hoger. Ze willen zich onderscheiden. Die drijfveer komt van binnenuit. Niet-ondernemende mensen hebben geen sterke behoefte om te presteren of sterke wil om succes te hebben. Zij nemen sneller genoegen met minder en vinden het vaak prima zoals het gaat.</w:t>
      </w:r>
    </w:p>
    <w:p w14:paraId="698F6846" w14:textId="77777777" w:rsidR="00AC4D93" w:rsidRPr="00AC4D93" w:rsidRDefault="00AC4D93" w:rsidP="00AC4D93">
      <w:pPr>
        <w:pStyle w:val="Geenafstand"/>
        <w:rPr>
          <w:rFonts w:cstheme="minorHAnsi"/>
          <w:sz w:val="24"/>
          <w:szCs w:val="24"/>
          <w:lang w:val="nl-NL"/>
        </w:rPr>
      </w:pPr>
    </w:p>
    <w:p w14:paraId="3DA03AC5"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Zelfstandigheid</w:t>
      </w:r>
    </w:p>
    <w:p w14:paraId="46FB5C47"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Ondernemende mensen hebben behoefte aan vrijheid. Ze willen zelf kunnen beslissen wat ze doen. Ze lossen zelf hun problemen op en brengen hun werkzaamheden op eigen kracht tot een goed einde. Niet-ondernemende mensen hebben steun of hulp nodig en laten beslissingen vaker aan anderen over.</w:t>
      </w:r>
    </w:p>
    <w:p w14:paraId="340FD8ED" w14:textId="77777777" w:rsidR="00AC4D93" w:rsidRPr="00AC4D93" w:rsidRDefault="00AC4D93" w:rsidP="00AC4D93">
      <w:pPr>
        <w:pStyle w:val="Geenafstand"/>
        <w:rPr>
          <w:rFonts w:cstheme="minorHAnsi"/>
          <w:sz w:val="24"/>
          <w:szCs w:val="24"/>
          <w:lang w:val="nl-NL"/>
        </w:rPr>
      </w:pPr>
    </w:p>
    <w:p w14:paraId="5F01BA5D"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Dominantie</w:t>
      </w:r>
    </w:p>
    <w:p w14:paraId="60575973"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 xml:space="preserve">Dominantie is de behoefte om controle over anderen te hebben; om iemand je wil op te leggen. Dominantie kan een reden zijn om ondernemend te handelen, omdat je dan de leiding hebt. Ondernemende mensen weten wat ze willen en hoe ze anderen kunnen beïnvloeden om hun eigen doelen te bereiken. Daarbij gaan ze </w:t>
      </w:r>
      <w:proofErr w:type="gramStart"/>
      <w:r w:rsidRPr="00AC4D93">
        <w:rPr>
          <w:rFonts w:cstheme="minorHAnsi"/>
          <w:sz w:val="24"/>
          <w:szCs w:val="24"/>
          <w:lang w:val="nl-NL"/>
        </w:rPr>
        <w:t>er vanuit</w:t>
      </w:r>
      <w:proofErr w:type="gramEnd"/>
      <w:r w:rsidRPr="00AC4D93">
        <w:rPr>
          <w:rFonts w:cstheme="minorHAnsi"/>
          <w:sz w:val="24"/>
          <w:szCs w:val="24"/>
          <w:lang w:val="nl-NL"/>
        </w:rPr>
        <w:t xml:space="preserve"> dat hun gezag of mening wordt geaccepteerd. Niet-ondernemende mensen zijn bescheiden en treden liever niet op de voorgrond.</w:t>
      </w:r>
    </w:p>
    <w:p w14:paraId="120F7E8D" w14:textId="77777777" w:rsidR="00AC4D93" w:rsidRPr="00AC4D93" w:rsidRDefault="00AC4D93" w:rsidP="00AC4D93">
      <w:pPr>
        <w:pStyle w:val="Geenafstand"/>
        <w:rPr>
          <w:rFonts w:cstheme="minorHAnsi"/>
          <w:sz w:val="24"/>
          <w:szCs w:val="24"/>
          <w:lang w:val="nl-NL"/>
        </w:rPr>
      </w:pPr>
    </w:p>
    <w:p w14:paraId="77769EAB"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Sociale oriëntatie</w:t>
      </w:r>
    </w:p>
    <w:p w14:paraId="1CB1EFD9"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 xml:space="preserve">Sociale oriëntatie is de mate waarin iemand gericht is op anderen. Ondernemende mensen begrijpen dat mensen en netwerken nodig zijn om hun ideeën te realiseren. Ze leggen gemakkelijk contact en laten zich leiden door zakelijke overwegingen in hun sociale handelen. Daarbij kunnen ze hun sociale behoeften </w:t>
      </w:r>
      <w:proofErr w:type="gramStart"/>
      <w:r w:rsidRPr="00AC4D93">
        <w:rPr>
          <w:rFonts w:cstheme="minorHAnsi"/>
          <w:sz w:val="24"/>
          <w:szCs w:val="24"/>
          <w:lang w:val="nl-NL"/>
        </w:rPr>
        <w:t>opzij zetten</w:t>
      </w:r>
      <w:proofErr w:type="gramEnd"/>
      <w:r w:rsidRPr="00AC4D93">
        <w:rPr>
          <w:rFonts w:cstheme="minorHAnsi"/>
          <w:sz w:val="24"/>
          <w:szCs w:val="24"/>
          <w:lang w:val="nl-NL"/>
        </w:rPr>
        <w:t xml:space="preserve"> en hun aandacht richten op hun eigen belangen. Niet-ondernemende mensen zijn gereserveerd en terughoudend in het leggen van contacten.</w:t>
      </w:r>
    </w:p>
    <w:p w14:paraId="714B16B2" w14:textId="77777777" w:rsidR="00AC4D93" w:rsidRPr="00AC4D93" w:rsidRDefault="00AC4D93" w:rsidP="00AC4D93">
      <w:pPr>
        <w:pStyle w:val="Geenafstand"/>
        <w:rPr>
          <w:rFonts w:cstheme="minorHAnsi"/>
          <w:sz w:val="24"/>
          <w:szCs w:val="24"/>
          <w:lang w:val="nl-NL"/>
        </w:rPr>
      </w:pPr>
    </w:p>
    <w:p w14:paraId="68B293B6"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Zelfvertrouwen</w:t>
      </w:r>
    </w:p>
    <w:p w14:paraId="25D9A06F"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Zelfvertrouwen is het geloof in eigen kunnen en zelfverzekerd zijn en overkomen naar anderen toe.</w:t>
      </w:r>
    </w:p>
    <w:p w14:paraId="28EC8AB5"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Ondernemende mensen vertrouwen erop dat ze hun doelen kunnen bereiken op eigen kracht. Ze zijn ervan overtuigd elke opdracht tot een goed einde te kunnen brengen; dat hun succes niet van anderen afhangt, maar van henzelf. Ook in relatie tot anderen, al zijn die rijker, belangrijker of machtiger, brengen ze dat zelfvertrouwen mee. Niet-ondernemende mensen geloven minder in hun eigen kracht en leven met het idee dat hun succes van de omstandigheden afhangt.</w:t>
      </w:r>
    </w:p>
    <w:p w14:paraId="15920711" w14:textId="77777777" w:rsidR="00AC4D93" w:rsidRPr="00AC4D93" w:rsidRDefault="00AC4D93" w:rsidP="00AC4D93">
      <w:pPr>
        <w:pStyle w:val="Geenafstand"/>
        <w:rPr>
          <w:rFonts w:cstheme="minorHAnsi"/>
          <w:sz w:val="24"/>
          <w:szCs w:val="24"/>
          <w:lang w:val="nl-NL"/>
        </w:rPr>
      </w:pPr>
    </w:p>
    <w:p w14:paraId="1E25CB54"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lastRenderedPageBreak/>
        <w:t>Doorzettingsvermogen</w:t>
      </w:r>
    </w:p>
    <w:p w14:paraId="2AF6192D"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Doorzettingsvermogen is krachtig doorgaan ondanks tegenslagen of bezwaren. Ook op de langere termijn. Ondernemende mensen hebben veel doorzettingsvermogen. Met een duidelijk en helder doel voor ogen overwinnen ze uiteindelijk elke hobbel. Ook als ze soms niet vooruitkomen, zetten ze door. Ze bijten zich vast in het werk en laten niet los voordat het af is. Niet-ondernemende mensen hebben een gebrek aan zelfdiscipline en verschuilen zich sneller achter vermoeidheid of verveling.</w:t>
      </w:r>
    </w:p>
    <w:p w14:paraId="3E30AE03" w14:textId="77777777" w:rsidR="00AC4D93" w:rsidRPr="00AC4D93" w:rsidRDefault="00AC4D93" w:rsidP="00AC4D93">
      <w:pPr>
        <w:pStyle w:val="Geenafstand"/>
        <w:rPr>
          <w:rFonts w:cstheme="minorHAnsi"/>
          <w:sz w:val="24"/>
          <w:szCs w:val="24"/>
          <w:lang w:val="nl-NL"/>
        </w:rPr>
      </w:pPr>
    </w:p>
    <w:p w14:paraId="6C907AAF"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Risicobereidheid</w:t>
      </w:r>
    </w:p>
    <w:p w14:paraId="7DBF845B"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Risicobereidheid is het kunnen omgaan met onzekerheid en de bereidheid verlies te nemen. Ondernemende mensen zijn actieve risico nemers. Ze zijn actief gericht op kansen en zijn bereidheid om een kans te benutten ondanks de risico's dat het kan mislukken. Hun doelen zijn meer gericht op het verbeteren van hun leven, dan op het behouden ervan. Niet-ondernemende mensen zijn passieve risiconemers. Zij benaderen risico's voorzichtiger en reageren vaak alleen op wat op hun pad komt waar ze niet meer omheen kunnen.</w:t>
      </w:r>
    </w:p>
    <w:p w14:paraId="37458FC5" w14:textId="77777777" w:rsidR="00AC4D93" w:rsidRPr="00AC4D93" w:rsidRDefault="00AC4D93" w:rsidP="00AC4D93">
      <w:pPr>
        <w:pStyle w:val="Geenafstand"/>
        <w:rPr>
          <w:rFonts w:cstheme="minorHAnsi"/>
          <w:sz w:val="24"/>
          <w:szCs w:val="24"/>
          <w:lang w:val="nl-NL"/>
        </w:rPr>
      </w:pPr>
    </w:p>
    <w:p w14:paraId="3D659D87"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Marktgerichtheid</w:t>
      </w:r>
    </w:p>
    <w:p w14:paraId="7E5907B3"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Marktgerichtheid is je inleven in de behoeftewereld van anderen. Wat zijn de wensen en behoeften van anderen en hoe kun je daar met producten en diensten op inspelen. Ondernemende mensen spelen in op de specifieke behoefte van mensen. Ze kunnen ook nauwkeurig aangeven wat mensen willen. Ze lezen bladen en praten met anderen om te weten wat er speelt. Niet-ondernemende mensen hebben weinig oog voor de behoeften van anderen. Ze zijn vaak meer productgericht en op zichzelf gericht waardoor ze de behoeften van anderen over het hoofd zien.</w:t>
      </w:r>
    </w:p>
    <w:p w14:paraId="38895F0E" w14:textId="77777777" w:rsidR="00AC4D93" w:rsidRPr="00AC4D93" w:rsidRDefault="00AC4D93" w:rsidP="00AC4D93">
      <w:pPr>
        <w:pStyle w:val="Geenafstand"/>
        <w:rPr>
          <w:rFonts w:cstheme="minorHAnsi"/>
          <w:sz w:val="24"/>
          <w:szCs w:val="24"/>
          <w:lang w:val="nl-NL"/>
        </w:rPr>
      </w:pPr>
    </w:p>
    <w:p w14:paraId="09106DD6"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Creativiteit</w:t>
      </w:r>
    </w:p>
    <w:p w14:paraId="565264BC"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Creativiteit is het vermogen om te spelen met gedachten en nieuwe mogelijkheden te zien en uit te proberen. Ondernemende mensen stellen zich open voor wat er in hun omgeving gebeurt. Daarbij worden ze niet gehinderd door beperkingen van de situatie, maar juist uitgedaagd door de mogelijkheden. Ze hebben het vermogen om vanuit andere invalshoeken te denken en platgetreden paden te verlaten. Hierdoor kunnen ze problemen omzetten in nieuwe kansen. Niet-ondernemende mensen denken vaak in moeilijkheden en zien vaak geen oplossingen voor een probleem.</w:t>
      </w:r>
    </w:p>
    <w:p w14:paraId="31EF70C4" w14:textId="77777777" w:rsidR="00AC4D93" w:rsidRPr="00AC4D93" w:rsidRDefault="00AC4D93" w:rsidP="00AC4D93">
      <w:pPr>
        <w:pStyle w:val="Geenafstand"/>
        <w:rPr>
          <w:rFonts w:cstheme="minorHAnsi"/>
          <w:sz w:val="24"/>
          <w:szCs w:val="24"/>
          <w:lang w:val="nl-NL"/>
        </w:rPr>
      </w:pPr>
    </w:p>
    <w:p w14:paraId="49C5DB54"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Flexibiliteit</w:t>
      </w:r>
    </w:p>
    <w:p w14:paraId="467C1456"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Flexibiliteit berust op aanpassingsvermogen. Ondernemende mensen reageren op veranderingen die ze in de omgeving waarnemen, zoals nieuwe wensen of behoeften van andere mensen of nieuwe trends in de markt. Ze interpreteren kansen of bedreigingen op hun effect en passen hun plannen daarop aan. Niet-ondernemende mensen zijn nauwelijks bereid om zich aan te passen. Ze bieden weerstand en kunnen star en koppig zijn.</w:t>
      </w:r>
    </w:p>
    <w:p w14:paraId="2124F385" w14:textId="77777777" w:rsidR="00AC4D93" w:rsidRPr="00AC4D93" w:rsidRDefault="00AC4D93" w:rsidP="00AC4D93">
      <w:pPr>
        <w:pStyle w:val="Geenafstand"/>
        <w:rPr>
          <w:rFonts w:cstheme="minorHAnsi"/>
          <w:sz w:val="24"/>
          <w:szCs w:val="24"/>
          <w:lang w:val="nl-NL"/>
        </w:rPr>
      </w:pPr>
    </w:p>
    <w:p w14:paraId="219F0BB6"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Pro-activiteit</w:t>
      </w:r>
    </w:p>
    <w:p w14:paraId="6D910926"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 xml:space="preserve">Pro-activiteit is zelf initiatief nemen en niet afwachten totdat anderen zijn voorgegaan. Ondernemende mensen tonen initiatief door zaken aan te pakken voordat er om wordt gevraagd of door de situatie worden gedwongen. Bijvoorbeeld als een opdracht niet volgens afspraak afgerond kan worden. Ze ondernemen actie en komen met voorstellen voordat de </w:t>
      </w:r>
      <w:r w:rsidRPr="00AC4D93">
        <w:rPr>
          <w:rFonts w:cstheme="minorHAnsi"/>
          <w:sz w:val="24"/>
          <w:szCs w:val="24"/>
          <w:lang w:val="nl-NL"/>
        </w:rPr>
        <w:lastRenderedPageBreak/>
        <w:t>ander er om vraagt. Minder ondernemende mensen wachten af en laten zich leiden door de situatie of wat anderen hen opdragen.</w:t>
      </w:r>
    </w:p>
    <w:p w14:paraId="7018F44F" w14:textId="77777777" w:rsidR="00AC4D93" w:rsidRPr="00AC4D93" w:rsidRDefault="00AC4D93" w:rsidP="00AC4D93">
      <w:pPr>
        <w:pStyle w:val="Geenafstand"/>
        <w:rPr>
          <w:rFonts w:cstheme="minorHAnsi"/>
          <w:sz w:val="24"/>
          <w:szCs w:val="24"/>
          <w:lang w:val="nl-NL"/>
        </w:rPr>
      </w:pPr>
    </w:p>
    <w:p w14:paraId="08615E22"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Empathie</w:t>
      </w:r>
    </w:p>
    <w:p w14:paraId="1A64F354"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 xml:space="preserve">Empathie is het vermogen om je in te leven in de gevoelens en gedachten van anderen. Ondernemende mensen verdiepen zich in het gevoelsleven van anderen en respecteren dat mensen op verschillende manieren tegen zaken aan kunnen kijken. Daarbij houden ze rekening met hun eigen invloed op de ander en zorgen </w:t>
      </w:r>
      <w:proofErr w:type="gramStart"/>
      <w:r w:rsidRPr="00AC4D93">
        <w:rPr>
          <w:rFonts w:cstheme="minorHAnsi"/>
          <w:sz w:val="24"/>
          <w:szCs w:val="24"/>
          <w:lang w:val="nl-NL"/>
        </w:rPr>
        <w:t>er voor</w:t>
      </w:r>
      <w:proofErr w:type="gramEnd"/>
      <w:r w:rsidRPr="00AC4D93">
        <w:rPr>
          <w:rFonts w:cstheme="minorHAnsi"/>
          <w:sz w:val="24"/>
          <w:szCs w:val="24"/>
          <w:lang w:val="nl-NL"/>
        </w:rPr>
        <w:t xml:space="preserve"> dat de ander zich begrepen voelt. Minder ondernemende mensen leven zich minder in de ander in met als gevaar dat ze langs elkaar heen praten en elkaar uiteindelijk niet begrijpen.</w:t>
      </w:r>
    </w:p>
    <w:p w14:paraId="2DD7A11A" w14:textId="77777777" w:rsidR="00AC4D93" w:rsidRPr="00AC4D93" w:rsidRDefault="00AC4D93" w:rsidP="00AC4D93">
      <w:pPr>
        <w:pStyle w:val="Geenafstand"/>
        <w:rPr>
          <w:rFonts w:cstheme="minorHAnsi"/>
          <w:b/>
          <w:bCs/>
          <w:sz w:val="24"/>
          <w:szCs w:val="24"/>
          <w:lang w:val="nl-NL"/>
        </w:rPr>
      </w:pPr>
    </w:p>
    <w:p w14:paraId="444C3624"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Plannen</w:t>
      </w:r>
    </w:p>
    <w:p w14:paraId="3AC5D8CC"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Plannen en organiseren betekent het opzetten en uitvoeren van een slim en doeltreffend systeem voor de uitvoering van werkzaamheden en die van eventuele anderen. Ondernemende mensen kunnen goed plannen en weten werkzaamheden goed in te schatten wat betreft tijd en hoeveelheid. Minder ondernemende mensen laten zich sneller verleiden door de chaos van alle dag. Ze verliezen sneller hun focus en krijgen het werk niet af voor de gestelde deadline.</w:t>
      </w:r>
    </w:p>
    <w:p w14:paraId="531ADC28" w14:textId="77777777" w:rsidR="00AC4D93" w:rsidRPr="00AC4D93" w:rsidRDefault="00AC4D93" w:rsidP="00AC4D93">
      <w:pPr>
        <w:pStyle w:val="Geenafstand"/>
        <w:rPr>
          <w:rFonts w:cstheme="minorHAnsi"/>
          <w:sz w:val="24"/>
          <w:szCs w:val="24"/>
          <w:lang w:val="nl-NL"/>
        </w:rPr>
      </w:pPr>
    </w:p>
    <w:p w14:paraId="487CC066" w14:textId="77777777" w:rsidR="00AC4D93" w:rsidRPr="00AC4D93" w:rsidRDefault="00AC4D93" w:rsidP="00AC4D93">
      <w:pPr>
        <w:pStyle w:val="Kop3"/>
        <w:rPr>
          <w:rFonts w:asciiTheme="minorHAnsi" w:hAnsiTheme="minorHAnsi" w:cstheme="minorHAnsi"/>
          <w:b/>
          <w:bCs/>
          <w:color w:val="auto"/>
        </w:rPr>
      </w:pPr>
      <w:r w:rsidRPr="00AC4D93">
        <w:rPr>
          <w:rFonts w:asciiTheme="minorHAnsi" w:hAnsiTheme="minorHAnsi" w:cstheme="minorHAnsi"/>
          <w:b/>
          <w:bCs/>
          <w:color w:val="auto"/>
        </w:rPr>
        <w:t>Financieel beheren</w:t>
      </w:r>
    </w:p>
    <w:p w14:paraId="74EDE909" w14:textId="77777777" w:rsidR="00AC4D93" w:rsidRPr="00AC4D93" w:rsidRDefault="00AC4D93" w:rsidP="00AC4D93">
      <w:pPr>
        <w:pStyle w:val="Geenafstand"/>
        <w:rPr>
          <w:rFonts w:cstheme="minorHAnsi"/>
          <w:sz w:val="24"/>
          <w:szCs w:val="24"/>
          <w:lang w:val="nl-NL"/>
        </w:rPr>
      </w:pPr>
      <w:r w:rsidRPr="00AC4D93">
        <w:rPr>
          <w:rFonts w:cstheme="minorHAnsi"/>
          <w:sz w:val="24"/>
          <w:szCs w:val="24"/>
          <w:lang w:val="nl-NL"/>
        </w:rPr>
        <w:t>Financieel beheren betekent een goede balans kunnen houden tussen opbrengsten en kosten en tussen ontvangsten en uitgaven. Ondernemende mensen maken actief gebruik van hun vermogen om vooraf vooruit te kijken naar de toekomst en wat er financieel nodig is om hun doelen te bereiken. Zij willen regelmatig weten hoe ze er financieel voorstaan om tijdig in te kunnen grijpen. Minder ondernemende ondernemers tonen een gebrek aan interesse in financiën en - belangrijker - hoe ze er financieel voorstaan.</w:t>
      </w:r>
    </w:p>
    <w:p w14:paraId="1FD9142E" w14:textId="77777777" w:rsidR="00AC4D93" w:rsidRDefault="00AC4D93"/>
    <w:sectPr w:rsidR="00AC4D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C70C41"/>
    <w:multiLevelType w:val="hybridMultilevel"/>
    <w:tmpl w:val="863A07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D93"/>
    <w:rsid w:val="002F6CAC"/>
    <w:rsid w:val="007D5D52"/>
    <w:rsid w:val="00AC4D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CA54F"/>
  <w15:chartTrackingRefBased/>
  <w15:docId w15:val="{AC42FDCD-A242-497A-AC4E-E8B75A47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AC4D93"/>
    <w:pPr>
      <w:keepNext/>
      <w:keepLines/>
      <w:spacing w:before="40" w:after="0"/>
      <w:outlineLvl w:val="1"/>
    </w:pPr>
    <w:rPr>
      <w:rFonts w:asciiTheme="majorHAnsi" w:eastAsiaTheme="majorEastAsia" w:hAnsiTheme="majorHAnsi" w:cstheme="majorBidi"/>
      <w:color w:val="1F3864" w:themeColor="accent1" w:themeShade="80"/>
      <w:sz w:val="26"/>
      <w:szCs w:val="26"/>
    </w:rPr>
  </w:style>
  <w:style w:type="paragraph" w:styleId="Kop3">
    <w:name w:val="heading 3"/>
    <w:basedOn w:val="Standaard"/>
    <w:next w:val="Standaard"/>
    <w:link w:val="Kop3Char"/>
    <w:uiPriority w:val="9"/>
    <w:semiHidden/>
    <w:unhideWhenUsed/>
    <w:qFormat/>
    <w:rsid w:val="00AC4D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AC4D93"/>
    <w:rPr>
      <w:rFonts w:asciiTheme="majorHAnsi" w:eastAsiaTheme="majorEastAsia" w:hAnsiTheme="majorHAnsi" w:cstheme="majorBidi"/>
      <w:color w:val="1F3864" w:themeColor="accent1" w:themeShade="80"/>
      <w:sz w:val="26"/>
      <w:szCs w:val="26"/>
    </w:rPr>
  </w:style>
  <w:style w:type="paragraph" w:styleId="Lijstalinea">
    <w:name w:val="List Paragraph"/>
    <w:basedOn w:val="Standaard"/>
    <w:uiPriority w:val="34"/>
    <w:qFormat/>
    <w:rsid w:val="00AC4D93"/>
    <w:pPr>
      <w:ind w:left="720"/>
      <w:contextualSpacing/>
    </w:pPr>
  </w:style>
  <w:style w:type="table" w:styleId="Tabelraster">
    <w:name w:val="Table Grid"/>
    <w:basedOn w:val="Standaardtabel"/>
    <w:uiPriority w:val="39"/>
    <w:rsid w:val="00AC4D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semiHidden/>
    <w:rsid w:val="00AC4D93"/>
    <w:rPr>
      <w:rFonts w:asciiTheme="majorHAnsi" w:eastAsiaTheme="majorEastAsia" w:hAnsiTheme="majorHAnsi" w:cstheme="majorBidi"/>
      <w:color w:val="1F3763" w:themeColor="accent1" w:themeShade="7F"/>
      <w:sz w:val="24"/>
      <w:szCs w:val="24"/>
    </w:rPr>
  </w:style>
  <w:style w:type="paragraph" w:styleId="Geenafstand">
    <w:name w:val="No Spacing"/>
    <w:link w:val="GeenafstandChar"/>
    <w:uiPriority w:val="1"/>
    <w:qFormat/>
    <w:rsid w:val="00AC4D93"/>
    <w:pPr>
      <w:spacing w:after="0" w:line="240" w:lineRule="auto"/>
    </w:pPr>
    <w:rPr>
      <w:rFonts w:eastAsiaTheme="minorEastAsia"/>
      <w:lang w:val="en-US" w:bidi="en-US"/>
    </w:rPr>
  </w:style>
  <w:style w:type="character" w:customStyle="1" w:styleId="GeenafstandChar">
    <w:name w:val="Geen afstand Char"/>
    <w:basedOn w:val="Standaardalinea-lettertype"/>
    <w:link w:val="Geenafstand"/>
    <w:uiPriority w:val="1"/>
    <w:rsid w:val="00AC4D93"/>
    <w:rPr>
      <w:rFonts w:eastAsiaTheme="minorEastAsia"/>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82E0B02A318E459AD716AC786DE572" ma:contentTypeVersion="12" ma:contentTypeDescription="Een nieuw document maken." ma:contentTypeScope="" ma:versionID="1dc84fb11a9be35ac09a1ae920ea7357">
  <xsd:schema xmlns:xsd="http://www.w3.org/2001/XMLSchema" xmlns:xs="http://www.w3.org/2001/XMLSchema" xmlns:p="http://schemas.microsoft.com/office/2006/metadata/properties" xmlns:ns2="34354c1b-6b8c-435b-ad50-990538c19557" xmlns:ns3="47a28104-336f-447d-946e-e305ac2bcd47" targetNamespace="http://schemas.microsoft.com/office/2006/metadata/properties" ma:root="true" ma:fieldsID="85fd8f0e804736af8b3f71c277445723" ns2:_="" ns3:_="">
    <xsd:import namespace="34354c1b-6b8c-435b-ad50-990538c19557"/>
    <xsd:import namespace="47a28104-336f-447d-946e-e305ac2bcd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54c1b-6b8c-435b-ad50-990538c19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a28104-336f-447d-946e-e305ac2bcd4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A6E716-C41C-4C92-AA7B-C0A40BAB9681}"/>
</file>

<file path=customXml/itemProps2.xml><?xml version="1.0" encoding="utf-8"?>
<ds:datastoreItem xmlns:ds="http://schemas.openxmlformats.org/officeDocument/2006/customXml" ds:itemID="{99BFC68E-E2BD-4DF2-AB4A-BA87F86472E2}"/>
</file>

<file path=customXml/itemProps3.xml><?xml version="1.0" encoding="utf-8"?>
<ds:datastoreItem xmlns:ds="http://schemas.openxmlformats.org/officeDocument/2006/customXml" ds:itemID="{86203BC5-D8A6-4DAB-8A55-488AA0F526D9}"/>
</file>

<file path=docProps/app.xml><?xml version="1.0" encoding="utf-8"?>
<Properties xmlns="http://schemas.openxmlformats.org/officeDocument/2006/extended-properties" xmlns:vt="http://schemas.openxmlformats.org/officeDocument/2006/docPropsVTypes">
  <Template>Normal.dotm</Template>
  <TotalTime>9</TotalTime>
  <Pages>4</Pages>
  <Words>1270</Words>
  <Characters>6986</Characters>
  <Application>Microsoft Office Word</Application>
  <DocSecurity>0</DocSecurity>
  <Lines>58</Lines>
  <Paragraphs>16</Paragraphs>
  <ScaleCrop>false</ScaleCrop>
  <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van den Berg</dc:creator>
  <cp:keywords/>
  <dc:description/>
  <cp:lastModifiedBy>Valerie van den Berg</cp:lastModifiedBy>
  <cp:revision>1</cp:revision>
  <dcterms:created xsi:type="dcterms:W3CDTF">2021-01-25T15:29:00Z</dcterms:created>
  <dcterms:modified xsi:type="dcterms:W3CDTF">2021-01-25T15:38:00Z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0x0101006882E0B02A318E459AD716AC786DE572</vt:lpwstr>
  </property>
</Properties>
</file>