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9446" w:type="dxa"/>
        <w:tblLook w:val="04A0" w:firstRow="1" w:lastRow="0" w:firstColumn="1" w:lastColumn="0" w:noHBand="0" w:noVBand="1"/>
      </w:tblPr>
      <w:tblGrid>
        <w:gridCol w:w="2597"/>
        <w:gridCol w:w="6849"/>
      </w:tblGrid>
      <w:tr w:rsidR="00BF001B" w:rsidRPr="00BF001B" w:rsidTr="00BF001B">
        <w:trPr>
          <w:trHeight w:val="554"/>
        </w:trPr>
        <w:tc>
          <w:tcPr>
            <w:tcW w:w="2597" w:type="dxa"/>
            <w:noWrap/>
            <w:hideMark/>
          </w:tcPr>
          <w:p w:rsidR="00BF001B" w:rsidRPr="00BF001B" w:rsidRDefault="00BF001B">
            <w:pPr>
              <w:rPr>
                <w:b/>
                <w:bCs/>
                <w:i/>
                <w:sz w:val="36"/>
              </w:rPr>
            </w:pPr>
            <w:r w:rsidRPr="00BF001B">
              <w:rPr>
                <w:b/>
                <w:bCs/>
                <w:i/>
                <w:sz w:val="36"/>
              </w:rPr>
              <w:t>Begrippenlijst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BF001B">
            <w:pPr>
              <w:rPr>
                <w:b/>
                <w:i/>
                <w:sz w:val="36"/>
              </w:rPr>
            </w:pPr>
            <w:r w:rsidRPr="00BF001B">
              <w:rPr>
                <w:b/>
                <w:i/>
                <w:sz w:val="36"/>
              </w:rPr>
              <w:t>Omschrijving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primaire behoeften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D016DF">
            <w:r>
              <w:t>Eerste levensbehoeften, direct nodig om te overleven zoals voeding, kleding en onderdak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secundaire behoeften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D016DF">
            <w:r>
              <w:t>Luxe behoeften, maken het leven aangenamer zoals speelgoed, elektrische apparaten, boeken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welvaart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D016DF">
            <w:r>
              <w:t>De hoeveelheid behoeften waarin je met je inkomen kunt voorzien.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basisbehoeften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D016DF">
            <w:r>
              <w:t>Ander woord voor primaire behoeften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luxe behoeften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D016DF">
            <w:r>
              <w:t>Ander woord voor secundaire behoeften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vier productiefactoren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456998">
            <w:r>
              <w:t>Kapitaal</w:t>
            </w:r>
            <w:r w:rsidR="00D016DF">
              <w:t>, Arbeid, Natuur, Ondernemerschap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natuur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D016DF">
            <w:r>
              <w:t>Grond en grondstoffen: vergoeding heet pacht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arbeid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D016DF">
            <w:r>
              <w:t>Werknemers: vergoeding heet loon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kapitaal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D016DF">
            <w:r>
              <w:t>Gebouwen, machines en gereedschap: vergoeding heet rente of huur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ondernemerschap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D016DF">
            <w:r>
              <w:t>Lef en risico van de eigenaar: vergoeding heet winst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inkomen uit bezit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D016DF">
            <w:r>
              <w:t>De vergoedingen voor kapitaal, natuur , ondernemerschap (rente, huur, pacht en winst)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primair inkomen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D016DF">
            <w:r>
              <w:t>Inkomen uit arbeid of inkomen uit bezit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secundair inkomen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D016DF">
            <w:r>
              <w:t>Overdrachtsinkomen, geld van de overheid zonder directe tegenprestatie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overdrachtsinkomen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AD18B1">
            <w:r>
              <w:t>Uitkeringen en toeslagen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toeslagen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AD18B1">
            <w:r>
              <w:t>Huurtoeslag en zorgtoeslag, geld van de overheid omdat je met een laag inkomen ander de huur en zorgverzekering niet kunt betalen.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prioriteiten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AD18B1">
            <w:r>
              <w:t>Dingen die je belangrijk vindt.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prioriteitenlijst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AD18B1">
            <w:r>
              <w:t>Op volgorde zetten van de prioriteiten. Wat je het belangrijkst vindt zet je bovenaan.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dagelijkse uitgaven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AD18B1">
            <w:r>
              <w:t>Kleine uitgaven voor voeding, uitgaan en persoonlijke verzorging. Dit wil niet zeggen dat je ze elke dag gaat doen. Vb. brood, bioscoop, tube tandpasta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vaste lasten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AD18B1">
            <w:r>
              <w:t>Uitgaven als gevolg van een afspraak. Je weet wanneer de rekening komt en hoe hoog het bedrag ongeveer zal zijn. Vb. abonnement, huur.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incidentele uitgaven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AD18B1">
            <w:r>
              <w:t xml:space="preserve">Grote onverwachte uitgaven waarvoor je moet gaan sparen. Je weet dat de koelkast een keer stuk zal gaan, maar niet wanneer. </w:t>
            </w:r>
            <w:proofErr w:type="spellStart"/>
            <w:r>
              <w:t>Vb</w:t>
            </w:r>
            <w:proofErr w:type="spellEnd"/>
            <w:r>
              <w:t xml:space="preserve"> kleding, meubels, vervoersmiddelen, computer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reserveren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AD18B1">
            <w:r>
              <w:t>Geld opzij zetten om later incidentele uitgaven te kunnen betalen.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doelgroep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AD18B1">
            <w:r>
              <w:t>Groep consumenten waarop de verkoper zich specifiek richt.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Nibud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AD18B1">
            <w:r>
              <w:t>Nationaal instituut voor budgetvoorlichting, Geven advies hoe je verstandig met je geld kunt omgaan.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begroting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AD18B1">
            <w:r>
              <w:t>Overzicht van de verwachte inkomsten en verwachte uitgaven.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begrotingstekort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AD18B1">
            <w:r>
              <w:t>De verwachte inkomsten zijn te laag om de verwachte uitgaven te kunnen betalen.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oplossingen begrotingstekort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AD18B1">
            <w:r>
              <w:t>Bezuinigen, zorgen voor meer inkomen, lenen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begrotingsoverschot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AD18B1">
            <w:r>
              <w:t>De verwachte inkomsten zijn groter dan de verwacht uitgaven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vrije goederen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AD18B1">
            <w:r>
              <w:t>Zaken waarvoor je in normale omstandigheden niet hoeft te betalen. Regen, zuurstof, zwemmen in zee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schaars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AD18B1">
            <w:r>
              <w:t xml:space="preserve">Er zijn middelen nodig om deze zaken te produceren. Er moet dus betaald worden om deze goederen te krijgen. </w:t>
            </w:r>
            <w:proofErr w:type="spellStart"/>
            <w:r>
              <w:t>Vb</w:t>
            </w:r>
            <w:proofErr w:type="spellEnd"/>
            <w:r>
              <w:t xml:space="preserve"> telefoon, kraanwater, paperclip, reclamefolders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zelfvoorziening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AD18B1">
            <w:r>
              <w:t>Zelf goederen maken voor eigen gebruik.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in natura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AD18B1">
            <w:r>
              <w:t>Betaling niet in geld maar in goederen of diensten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lastRenderedPageBreak/>
              <w:t>deugdelijk product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AD18B1">
            <w:r>
              <w:t>Product voldoet aan de eisen die je normaal gesproken van het product mag verwachten.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ondeugdelijk product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AD18B1">
            <w:r>
              <w:t>Product gaat binnen een redelijke termijn kapot.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garantie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AD18B1">
            <w:r>
              <w:t>Periode waarbinnen de leverancier het ondeugdelijke product gratis moet repareren/ vervangen.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oplossingen ondeugdelijk product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AD18B1">
            <w:r>
              <w:t>Reparatie, vervangen, geld terug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overeenkomst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03057C">
            <w:r>
              <w:t>Geldige afspraak tussen koper en verkoper over product, levering en prijs.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goederen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03057C">
            <w:r>
              <w:t>Producten die je kunt aanraken.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diensten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03057C">
            <w:r>
              <w:t>Iets doen voor een ander, niet tastbaar.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koopgedrag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03057C">
            <w:r>
              <w:t>Waar geven de consumenten hun geld aan uit.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03057C">
            <w:r w:rsidRPr="00BF001B">
              <w:t>commerciële</w:t>
            </w:r>
            <w:r w:rsidR="00BF001B" w:rsidRPr="00BF001B">
              <w:t xml:space="preserve"> reclame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03057C">
            <w:r>
              <w:t>Reclame bedoelt om meer producten te verkopen.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03057C">
            <w:r w:rsidRPr="00BF001B">
              <w:t>ideële</w:t>
            </w:r>
            <w:r w:rsidR="00BF001B" w:rsidRPr="00BF001B">
              <w:t xml:space="preserve"> reclame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03057C">
            <w:r>
              <w:t>Reclame bedoelt om het gedrag van mensen te verbeteren.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SIRE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03057C" w:rsidP="0003057C">
            <w:r>
              <w:t>Stichting Ideële Reclame, makers van  ideële reclame.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wilsovereenstemming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03057C">
            <w:r>
              <w:t>Koper en verkoper zijn het in vrije wil met elkaar eens.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wilsgebreken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03057C">
            <w:r>
              <w:t>De overeenkomst is tot stand gekomen op basis van: Dwang, Dwaling, Bedrog, Misbruik van de situatie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tegoedbon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03057C">
            <w:r>
              <w:t>Service van de winkelier in geval van ruilen van deugdelijke producten. Een winkelier is niet verplicht om een deugdelijk product te ruilen.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handelingsbekwaam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03057C">
            <w:r>
              <w:t>Vanaf 18 jaar wordt je geacht in staat te zijn om de gevolgen van je handelen te kunnen overzien.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onder curatele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03057C">
            <w:r>
              <w:t>Mensen boven de 18 die hun handelen niet kunnen overzien kunnen op verzoek door de rechter onder curatele geplaatst worden.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curator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03057C">
            <w:r>
              <w:t>Toezichthouder van iemand die onder curatele staat.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handelingsonbekwaam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03057C">
            <w:r>
              <w:t>Niet in staat zijn om overeenkomsten af te sluiten. De toezichthouder kan de overeenkomst achteraf laten ontbinden door de rechter.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colportagewet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03057C">
            <w:r>
              <w:t>Wet die stelt dat bij aankopen boven de € 34 bij huis-aan-huis verkopen, verkoopreisjes of ongevraagde verkoopparty’s schriftelijk moeten worden vastgelegd en dat de koper 8 dagen bedenktijd krijgt.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afkoelingsperiode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03057C">
            <w:r>
              <w:t>Periode van 8 dagen waarin een koper alsnog van de koop kan afzien.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wet koop op afstand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03057C">
            <w:r>
              <w:t>Wet die stelt dat bij aankopen via internet, telefoon of catalogus de koper binnen 8 dagen vanaf de levering van de koop af kan.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directe ruil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03057C">
            <w:r>
              <w:t>Ruilen van goederen /diensten tegen goederen/ diensten.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indirecte ruil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03057C">
            <w:r>
              <w:t>Ruilen met tussenkomst van geld.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chartaal geld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03057C">
            <w:r>
              <w:t>Euromunten en eurobankbiljetten.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giraal geld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03057C">
            <w:r>
              <w:t>Direct opeisbaar banktegoed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nominaal loon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03057C">
            <w:r>
              <w:t>Percentage loonsverhoging dat je ontvangt van je werkgever.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inflatie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03057C">
            <w:r>
              <w:t>Algemene prijsstijging in procenten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456998">
            <w:r w:rsidRPr="00BF001B">
              <w:t>reëel</w:t>
            </w:r>
            <w:bookmarkStart w:id="0" w:name="_GoBack"/>
            <w:bookmarkEnd w:id="0"/>
            <w:r w:rsidR="00BF001B" w:rsidRPr="00BF001B">
              <w:t xml:space="preserve"> loon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03057C">
            <w:r>
              <w:t>Nominale loon – inflatie :  koopkrachtverandering in procenten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koopkracht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473359">
            <w:r>
              <w:t>Hoeveel spullen je kunt kopen met je inkomen.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voordelen/ nadelen kopen</w:t>
            </w:r>
          </w:p>
        </w:tc>
        <w:tc>
          <w:tcPr>
            <w:tcW w:w="6849" w:type="dxa"/>
            <w:noWrap/>
            <w:hideMark/>
          </w:tcPr>
          <w:p w:rsidR="00BF001B" w:rsidRDefault="00473359">
            <w:r>
              <w:t>Voordeel koopwoning: op lange termijn goedkoper, verbouwen</w:t>
            </w:r>
          </w:p>
          <w:p w:rsidR="00473359" w:rsidRPr="00BF001B" w:rsidRDefault="00473359">
            <w:r>
              <w:t>Nadeel koopwoning: lastig om snel te verhuizen, kosten groot onderhoud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voordelen/ nadelen huren</w:t>
            </w:r>
          </w:p>
        </w:tc>
        <w:tc>
          <w:tcPr>
            <w:tcW w:w="6849" w:type="dxa"/>
            <w:noWrap/>
            <w:hideMark/>
          </w:tcPr>
          <w:p w:rsidR="00BF001B" w:rsidRDefault="00473359">
            <w:r>
              <w:t>Voordeel huurwoning: makkelijk verhuizen, geen kosten groot onderhoud</w:t>
            </w:r>
          </w:p>
          <w:p w:rsidR="00473359" w:rsidRPr="00BF001B" w:rsidRDefault="00473359">
            <w:r>
              <w:t>Nadeel huurwoning: je bouwt geen vermogen op, huurstijgingen</w:t>
            </w:r>
          </w:p>
        </w:tc>
      </w:tr>
      <w:tr w:rsidR="00BF001B" w:rsidRPr="00BF001B" w:rsidTr="00BF001B">
        <w:trPr>
          <w:trHeight w:val="316"/>
        </w:trPr>
        <w:tc>
          <w:tcPr>
            <w:tcW w:w="2597" w:type="dxa"/>
            <w:noWrap/>
            <w:hideMark/>
          </w:tcPr>
          <w:p w:rsidR="00BF001B" w:rsidRPr="00BF001B" w:rsidRDefault="00BF001B">
            <w:r w:rsidRPr="00BF001B">
              <w:t>hypothecaire lening</w:t>
            </w:r>
          </w:p>
        </w:tc>
        <w:tc>
          <w:tcPr>
            <w:tcW w:w="6849" w:type="dxa"/>
            <w:noWrap/>
            <w:hideMark/>
          </w:tcPr>
          <w:p w:rsidR="00BF001B" w:rsidRPr="00BF001B" w:rsidRDefault="00473359">
            <w:r>
              <w:t>Langlopende geldlening (30 jaar) voor de aanschaf van een huis.</w:t>
            </w:r>
          </w:p>
        </w:tc>
      </w:tr>
    </w:tbl>
    <w:p w:rsidR="00E253DB" w:rsidRDefault="00E253DB"/>
    <w:sectPr w:rsidR="00E253DB" w:rsidSect="00456998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01B"/>
    <w:rsid w:val="0003057C"/>
    <w:rsid w:val="00456998"/>
    <w:rsid w:val="00473359"/>
    <w:rsid w:val="00AD18B1"/>
    <w:rsid w:val="00BF001B"/>
    <w:rsid w:val="00D016DF"/>
    <w:rsid w:val="00E2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F00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F00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7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882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5727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Bernhard Seelen</dc:creator>
  <cp:lastModifiedBy>Bernhard Seelen </cp:lastModifiedBy>
  <cp:revision>3</cp:revision>
  <dcterms:created xsi:type="dcterms:W3CDTF">2013-09-18T08:14:00Z</dcterms:created>
  <dcterms:modified xsi:type="dcterms:W3CDTF">2013-09-18T08:14:00Z</dcterms:modified>
</cp:coreProperties>
</file>