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0A55" w:rsidRPr="00530A55" w:rsidRDefault="00530A55" w:rsidP="00530A55">
      <w:pPr>
        <w:pStyle w:val="Normaalweb"/>
        <w:rPr>
          <w:rFonts w:asciiTheme="minorHAnsi" w:hAnsiTheme="minorHAnsi"/>
        </w:rPr>
      </w:pPr>
      <w:bookmarkStart w:id="0" w:name="_GoBack"/>
      <w:bookmarkEnd w:id="0"/>
      <w:r w:rsidRPr="00530A55">
        <w:rPr>
          <w:rFonts w:asciiTheme="minorHAnsi" w:hAnsiTheme="minorHAnsi"/>
          <w:color w:val="FF0000"/>
        </w:rPr>
        <w:t>Voeding</w:t>
      </w:r>
      <w:r w:rsidRPr="00530A55">
        <w:rPr>
          <w:rFonts w:asciiTheme="minorHAnsi" w:hAnsiTheme="minorHAnsi"/>
        </w:rPr>
        <w:t xml:space="preserve"> </w:t>
      </w:r>
    </w:p>
    <w:p w:rsidR="00530A55" w:rsidRPr="00530A55" w:rsidRDefault="00530A55" w:rsidP="00530A55">
      <w:pPr>
        <w:pStyle w:val="Normaalweb"/>
        <w:rPr>
          <w:rFonts w:asciiTheme="minorHAnsi" w:hAnsiTheme="minorHAnsi"/>
        </w:rPr>
      </w:pPr>
      <w:r w:rsidRPr="00530A55">
        <w:rPr>
          <w:rFonts w:asciiTheme="minorHAnsi" w:hAnsiTheme="minorHAnsi"/>
        </w:rPr>
        <w:t xml:space="preserve">In de grond zitten noodzakelijke voedingsstoffen voor een plant. Deze voedingsstoffen heeft een plant nodig om zijn eigen voeding aan te maken. In de natuur zijn alle voedingsstoffen en mineralen in de grond aanwezig of worden door allerlei biologische processen aangemaakt. In een bloempot kan het zijn dat de voedingsstoffen opraken. Men zegt dan dat de grond “uitgeput” is. Daarom is het belangrijk dat de plant af en toe voeding krijgt. Dit kan men doen door de plant nieuwe potgrond te geven of de plant te bemesten. </w:t>
      </w:r>
    </w:p>
    <w:p w:rsidR="00530A55" w:rsidRDefault="00530A55" w:rsidP="00530A55">
      <w:pPr>
        <w:pStyle w:val="Normaalweb"/>
        <w:rPr>
          <w:rFonts w:asciiTheme="minorHAnsi" w:hAnsiTheme="minorHAnsi"/>
        </w:rPr>
      </w:pPr>
      <w:r w:rsidRPr="00530A55">
        <w:rPr>
          <w:rFonts w:asciiTheme="minorHAnsi" w:hAnsiTheme="minorHAnsi"/>
        </w:rPr>
        <w:t xml:space="preserve">Potgrond moet een bepaalde structuur hebben. Het is belangrijk dat planten goed water en lucht kunnen opnemen. Verder moet er voeding </w:t>
      </w:r>
      <w:r>
        <w:rPr>
          <w:rFonts w:asciiTheme="minorHAnsi" w:hAnsiTheme="minorHAnsi"/>
        </w:rPr>
        <w:t xml:space="preserve">(hoofdelementen) </w:t>
      </w:r>
      <w:r w:rsidRPr="00530A55">
        <w:rPr>
          <w:rFonts w:asciiTheme="minorHAnsi" w:hAnsiTheme="minorHAnsi"/>
        </w:rPr>
        <w:t>in de grond zitten voor zes weken. Ook moeten er spoorelementen inzitten voo</w:t>
      </w:r>
      <w:r>
        <w:rPr>
          <w:rFonts w:asciiTheme="minorHAnsi" w:hAnsiTheme="minorHAnsi"/>
        </w:rPr>
        <w:t xml:space="preserve">r een nog langere periode. </w:t>
      </w:r>
      <w:r>
        <w:rPr>
          <w:rFonts w:asciiTheme="minorHAnsi" w:hAnsiTheme="minorHAnsi"/>
        </w:rPr>
        <w:tab/>
      </w:r>
    </w:p>
    <w:p w:rsidR="00530A55" w:rsidRDefault="00530A55" w:rsidP="00530A55">
      <w:pPr>
        <w:pStyle w:val="Normaalweb"/>
        <w:rPr>
          <w:rFonts w:asciiTheme="minorHAnsi" w:hAnsiTheme="minorHAnsi"/>
        </w:rPr>
      </w:pPr>
      <w:r>
        <w:rPr>
          <w:rFonts w:asciiTheme="minorHAnsi" w:hAnsiTheme="minorHAnsi"/>
        </w:rPr>
        <w:t>D</w:t>
      </w:r>
      <w:r w:rsidRPr="00530A55">
        <w:rPr>
          <w:rFonts w:asciiTheme="minorHAnsi" w:hAnsiTheme="minorHAnsi"/>
        </w:rPr>
        <w:t xml:space="preserve">e zuurgraad van de grond mag niet te hoog zijn, dit moet tussen de 5,5 en 6 pH zijn. “Wat is nu pH?”, de pH wordt geschreven met een kleine p en een grote H. De pH wordt gebruikt om de zuurgraad van iets uit te drukken. Het is een getal tussen de 0 en de 14.  Hoe lager de pH hoe zuurder de oplossing, hoe hoger de pH hoe basischer de oplossing. Een pH van 7 is neutraal. </w:t>
      </w:r>
    </w:p>
    <w:tbl>
      <w:tblPr>
        <w:tblStyle w:val="Tabelraster"/>
        <w:tblW w:w="0" w:type="auto"/>
        <w:tblLook w:val="04A0" w:firstRow="1" w:lastRow="0" w:firstColumn="1" w:lastColumn="0" w:noHBand="0" w:noVBand="1"/>
      </w:tblPr>
      <w:tblGrid>
        <w:gridCol w:w="3020"/>
        <w:gridCol w:w="3021"/>
        <w:gridCol w:w="3021"/>
      </w:tblGrid>
      <w:tr w:rsidR="00530A55" w:rsidTr="00530A55">
        <w:tc>
          <w:tcPr>
            <w:tcW w:w="3020" w:type="dxa"/>
          </w:tcPr>
          <w:p w:rsidR="00530A55" w:rsidRDefault="00530A55" w:rsidP="00530A55">
            <w:pPr>
              <w:pStyle w:val="Normaalweb"/>
              <w:jc w:val="center"/>
              <w:rPr>
                <w:rFonts w:asciiTheme="minorHAnsi" w:hAnsiTheme="minorHAnsi"/>
              </w:rPr>
            </w:pPr>
            <w:r>
              <w:rPr>
                <w:rFonts w:asciiTheme="minorHAnsi" w:hAnsiTheme="minorHAnsi"/>
              </w:rPr>
              <w:t>Zuur</w:t>
            </w:r>
          </w:p>
        </w:tc>
        <w:tc>
          <w:tcPr>
            <w:tcW w:w="3021" w:type="dxa"/>
          </w:tcPr>
          <w:p w:rsidR="00530A55" w:rsidRDefault="00530A55" w:rsidP="00530A55">
            <w:pPr>
              <w:pStyle w:val="Normaalweb"/>
              <w:jc w:val="center"/>
              <w:rPr>
                <w:rFonts w:asciiTheme="minorHAnsi" w:hAnsiTheme="minorHAnsi"/>
              </w:rPr>
            </w:pPr>
            <w:r>
              <w:rPr>
                <w:rFonts w:asciiTheme="minorHAnsi" w:hAnsiTheme="minorHAnsi"/>
              </w:rPr>
              <w:t>Neutraal</w:t>
            </w:r>
          </w:p>
        </w:tc>
        <w:tc>
          <w:tcPr>
            <w:tcW w:w="3021" w:type="dxa"/>
          </w:tcPr>
          <w:p w:rsidR="00530A55" w:rsidRDefault="00530A55" w:rsidP="00530A55">
            <w:pPr>
              <w:pStyle w:val="Normaalweb"/>
              <w:jc w:val="center"/>
              <w:rPr>
                <w:rFonts w:asciiTheme="minorHAnsi" w:hAnsiTheme="minorHAnsi"/>
              </w:rPr>
            </w:pPr>
            <w:r>
              <w:rPr>
                <w:rFonts w:asciiTheme="minorHAnsi" w:hAnsiTheme="minorHAnsi"/>
              </w:rPr>
              <w:t>Basisch</w:t>
            </w:r>
          </w:p>
        </w:tc>
      </w:tr>
      <w:tr w:rsidR="00530A55" w:rsidTr="000F64FE">
        <w:tc>
          <w:tcPr>
            <w:tcW w:w="9062" w:type="dxa"/>
            <w:gridSpan w:val="3"/>
          </w:tcPr>
          <w:p w:rsidR="00530A55" w:rsidRDefault="00530A55" w:rsidP="00530A55">
            <w:pPr>
              <w:pStyle w:val="Normaalweb"/>
              <w:jc w:val="center"/>
              <w:rPr>
                <w:rFonts w:asciiTheme="minorHAnsi" w:hAnsiTheme="minorHAnsi"/>
              </w:rPr>
            </w:pPr>
            <w:r w:rsidRPr="00530A55">
              <w:rPr>
                <w:rFonts w:asciiTheme="minorHAnsi" w:hAnsiTheme="minorHAnsi"/>
              </w:rPr>
              <w:t>1</w:t>
            </w:r>
            <w:r>
              <w:rPr>
                <w:rFonts w:asciiTheme="minorHAnsi" w:hAnsiTheme="minorHAnsi"/>
              </w:rPr>
              <w:t xml:space="preserve">       </w:t>
            </w:r>
            <w:r w:rsidRPr="00530A55">
              <w:rPr>
                <w:rFonts w:asciiTheme="minorHAnsi" w:hAnsiTheme="minorHAnsi"/>
              </w:rPr>
              <w:t xml:space="preserve"> 2</w:t>
            </w:r>
            <w:r>
              <w:rPr>
                <w:rFonts w:asciiTheme="minorHAnsi" w:hAnsiTheme="minorHAnsi"/>
              </w:rPr>
              <w:t xml:space="preserve">       </w:t>
            </w:r>
            <w:r w:rsidRPr="00530A55">
              <w:rPr>
                <w:rFonts w:asciiTheme="minorHAnsi" w:hAnsiTheme="minorHAnsi"/>
              </w:rPr>
              <w:t xml:space="preserve"> 3</w:t>
            </w:r>
            <w:r>
              <w:rPr>
                <w:rFonts w:asciiTheme="minorHAnsi" w:hAnsiTheme="minorHAnsi"/>
              </w:rPr>
              <w:t xml:space="preserve">       </w:t>
            </w:r>
            <w:r w:rsidRPr="00530A55">
              <w:rPr>
                <w:rFonts w:asciiTheme="minorHAnsi" w:hAnsiTheme="minorHAnsi"/>
              </w:rPr>
              <w:t xml:space="preserve"> 4</w:t>
            </w:r>
            <w:r>
              <w:rPr>
                <w:rFonts w:asciiTheme="minorHAnsi" w:hAnsiTheme="minorHAnsi"/>
              </w:rPr>
              <w:t xml:space="preserve">       </w:t>
            </w:r>
            <w:r w:rsidRPr="00530A55">
              <w:rPr>
                <w:rFonts w:asciiTheme="minorHAnsi" w:hAnsiTheme="minorHAnsi"/>
              </w:rPr>
              <w:t xml:space="preserve"> 5</w:t>
            </w:r>
            <w:r>
              <w:rPr>
                <w:rFonts w:asciiTheme="minorHAnsi" w:hAnsiTheme="minorHAnsi"/>
              </w:rPr>
              <w:t xml:space="preserve">       </w:t>
            </w:r>
            <w:r w:rsidRPr="00530A55">
              <w:rPr>
                <w:rFonts w:asciiTheme="minorHAnsi" w:hAnsiTheme="minorHAnsi"/>
              </w:rPr>
              <w:t xml:space="preserve"> 6</w:t>
            </w:r>
            <w:r>
              <w:rPr>
                <w:rFonts w:asciiTheme="minorHAnsi" w:hAnsiTheme="minorHAnsi"/>
              </w:rPr>
              <w:t xml:space="preserve">       </w:t>
            </w:r>
            <w:r w:rsidRPr="00530A55">
              <w:rPr>
                <w:rFonts w:asciiTheme="minorHAnsi" w:hAnsiTheme="minorHAnsi"/>
              </w:rPr>
              <w:t xml:space="preserve"> 7</w:t>
            </w:r>
            <w:r>
              <w:rPr>
                <w:rFonts w:asciiTheme="minorHAnsi" w:hAnsiTheme="minorHAnsi"/>
              </w:rPr>
              <w:t xml:space="preserve">       </w:t>
            </w:r>
            <w:r w:rsidRPr="00530A55">
              <w:rPr>
                <w:rFonts w:asciiTheme="minorHAnsi" w:hAnsiTheme="minorHAnsi"/>
              </w:rPr>
              <w:t xml:space="preserve"> 8</w:t>
            </w:r>
            <w:r>
              <w:rPr>
                <w:rFonts w:asciiTheme="minorHAnsi" w:hAnsiTheme="minorHAnsi"/>
              </w:rPr>
              <w:t xml:space="preserve">       </w:t>
            </w:r>
            <w:r w:rsidRPr="00530A55">
              <w:rPr>
                <w:rFonts w:asciiTheme="minorHAnsi" w:hAnsiTheme="minorHAnsi"/>
              </w:rPr>
              <w:t xml:space="preserve"> 9</w:t>
            </w:r>
            <w:r>
              <w:rPr>
                <w:rFonts w:asciiTheme="minorHAnsi" w:hAnsiTheme="minorHAnsi"/>
              </w:rPr>
              <w:t xml:space="preserve">       </w:t>
            </w:r>
            <w:r w:rsidRPr="00530A55">
              <w:rPr>
                <w:rFonts w:asciiTheme="minorHAnsi" w:hAnsiTheme="minorHAnsi"/>
              </w:rPr>
              <w:t xml:space="preserve"> 10</w:t>
            </w:r>
            <w:r>
              <w:rPr>
                <w:rFonts w:asciiTheme="minorHAnsi" w:hAnsiTheme="minorHAnsi"/>
              </w:rPr>
              <w:t xml:space="preserve">       </w:t>
            </w:r>
            <w:r w:rsidRPr="00530A55">
              <w:rPr>
                <w:rFonts w:asciiTheme="minorHAnsi" w:hAnsiTheme="minorHAnsi"/>
              </w:rPr>
              <w:t xml:space="preserve"> 11</w:t>
            </w:r>
            <w:r>
              <w:rPr>
                <w:rFonts w:asciiTheme="minorHAnsi" w:hAnsiTheme="minorHAnsi"/>
              </w:rPr>
              <w:t xml:space="preserve">       </w:t>
            </w:r>
            <w:r w:rsidRPr="00530A55">
              <w:rPr>
                <w:rFonts w:asciiTheme="minorHAnsi" w:hAnsiTheme="minorHAnsi"/>
              </w:rPr>
              <w:t xml:space="preserve"> 12</w:t>
            </w:r>
            <w:r>
              <w:rPr>
                <w:rFonts w:asciiTheme="minorHAnsi" w:hAnsiTheme="minorHAnsi"/>
              </w:rPr>
              <w:t xml:space="preserve">       </w:t>
            </w:r>
            <w:r w:rsidRPr="00530A55">
              <w:rPr>
                <w:rFonts w:asciiTheme="minorHAnsi" w:hAnsiTheme="minorHAnsi"/>
              </w:rPr>
              <w:t xml:space="preserve"> 13</w:t>
            </w:r>
            <w:r>
              <w:rPr>
                <w:rFonts w:asciiTheme="minorHAnsi" w:hAnsiTheme="minorHAnsi"/>
              </w:rPr>
              <w:t xml:space="preserve">       </w:t>
            </w:r>
            <w:r w:rsidRPr="00530A55">
              <w:rPr>
                <w:rFonts w:asciiTheme="minorHAnsi" w:hAnsiTheme="minorHAnsi"/>
              </w:rPr>
              <w:t xml:space="preserve"> 14</w:t>
            </w:r>
          </w:p>
        </w:tc>
      </w:tr>
    </w:tbl>
    <w:p w:rsidR="008D646A" w:rsidRDefault="00530A55" w:rsidP="00530A55">
      <w:pPr>
        <w:pStyle w:val="Normaalweb"/>
        <w:rPr>
          <w:rFonts w:asciiTheme="minorHAnsi" w:hAnsiTheme="minorHAnsi"/>
        </w:rPr>
      </w:pPr>
      <w:r w:rsidRPr="00530A55">
        <w:rPr>
          <w:rFonts w:asciiTheme="minorHAnsi" w:hAnsiTheme="minorHAnsi"/>
        </w:rPr>
        <w:t xml:space="preserve">Ook niet alle potgrond is gelijk. Zo bestaat er speciale potgronden voor verschillende planten. Er is anthuriumaarde, cactusaarde, azalea-aarde, bloemistenaarde en tuinaarde.  </w:t>
      </w:r>
      <w:r w:rsidR="008D646A">
        <w:rPr>
          <w:rFonts w:asciiTheme="minorHAnsi" w:hAnsiTheme="minorHAnsi"/>
        </w:rPr>
        <w:t>Al deze soorten grond hebben hun specifieke eigenschappen. Cactusaarde is bijvoorbeeld heel arm, of schraal, aan voedingsstoffen, terwijl anthuriumaarde zuur is.</w:t>
      </w:r>
    </w:p>
    <w:p w:rsidR="00530A55" w:rsidRPr="00530A55" w:rsidRDefault="00530A55" w:rsidP="00530A55">
      <w:pPr>
        <w:pStyle w:val="Normaalweb"/>
        <w:rPr>
          <w:rFonts w:asciiTheme="minorHAnsi" w:hAnsiTheme="minorHAnsi"/>
        </w:rPr>
      </w:pPr>
      <w:r w:rsidRPr="00530A55">
        <w:rPr>
          <w:rFonts w:asciiTheme="minorHAnsi" w:hAnsiTheme="minorHAnsi"/>
        </w:rPr>
        <w:t xml:space="preserve">Het voedseltekort in de grond kan ook opgelost worden door te bemesten. Er kan dan </w:t>
      </w:r>
      <w:r>
        <w:rPr>
          <w:rFonts w:asciiTheme="minorHAnsi" w:hAnsiTheme="minorHAnsi"/>
        </w:rPr>
        <w:t>meststof worden toegevoegd aan de aarde, dit kunnen natuurlijke of kunstmatige meststoffen zijn.</w:t>
      </w:r>
      <w:r w:rsidR="001A6F3F">
        <w:rPr>
          <w:rFonts w:asciiTheme="minorHAnsi" w:hAnsiTheme="minorHAnsi"/>
        </w:rPr>
        <w:t xml:space="preserve"> Natuurlijke voedingsstoffen geven hun voedingswaarde vaak heel geleidelijk af. Kunstmatige voedingsstoffen kunnen in eens een ‘boost’ afgeven.    Meststoffen moet je goed doseren want bij een te hoge concentratie kan de plant ‘verbranden’. Daarnaast geef je in de meeste gevallen alleen in het groeiseizoen voeding. </w:t>
      </w:r>
    </w:p>
    <w:p w:rsidR="00530A55" w:rsidRDefault="00530A55" w:rsidP="00530A55">
      <w:pPr>
        <w:pStyle w:val="Normaalweb"/>
      </w:pPr>
    </w:p>
    <w:p w:rsidR="00BF080E" w:rsidRDefault="00BF080E"/>
    <w:sectPr w:rsidR="00BF08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A55"/>
    <w:rsid w:val="001A6F3F"/>
    <w:rsid w:val="00530A55"/>
    <w:rsid w:val="008D646A"/>
    <w:rsid w:val="00BF080E"/>
    <w:rsid w:val="00CB5E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292915-F241-41BD-8B30-F8269271D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530A55"/>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39"/>
    <w:rsid w:val="00530A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A61DE4-5663-48ED-B79D-7B8B178B9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330</Words>
  <Characters>1817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Kor&amp;Annoeschka</cp:lastModifiedBy>
  <cp:revision>2</cp:revision>
  <dcterms:created xsi:type="dcterms:W3CDTF">2018-03-20T08:59:00Z</dcterms:created>
  <dcterms:modified xsi:type="dcterms:W3CDTF">2018-03-20T08:59:00Z</dcterms:modified>
</cp:coreProperties>
</file>