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Didactische verantwoording Digitaal Leerarrangement Onderwijskunde Periode 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Ik heb gekozen om de les over Kernkwaliteiten in een wikiwijs te gieten. Ik heb hiervoor gekozen, omdat ik gemakkelijk wilde beginnen.  ICT  is niet echt een kwaliteit van mij. Daarom wil ik aansluiten bij mijn zone van naaste ontwikkeling volgens Vygotski, beschreven door Geerts &amp; Kralingen ( 2014 ) en niet bij mijn paniekzone!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Het leerarrangement is af voor nu, het was niet erg moeilijk, maar ben er nu ook wel klaar mee. Een digitaal leerarrangement past niet echt bij mij. Ik kies er wel voor om het te gaan gebruiken, want ik geloof de meerwaarde wel. Uit onderzoek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www.kennisnet</w:t>
        </w:r>
      </w:hyperlink>
      <w:r>
        <w:rPr>
          <w:rFonts w:ascii="Calibri" w:hAnsi="Calibri" w:cs="Calibri" w:eastAsia="Calibri"/>
          <w:color w:val="auto"/>
          <w:spacing w:val="0"/>
          <w:position w:val="0"/>
          <w:sz w:val="22"/>
          <w:shd w:fill="auto" w:val="clear"/>
        </w:rPr>
        <w:t xml:space="preserve">, z.j.) is gebleken dat inzet van ict in het onderwijs zorgt voor gemotiveerde ll, verbeterde leerprestaties en een effectiever leerproces.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Door deze les in een leerarrangement te gieten heb ik gedifferentieerd. Op deze manier kan de ll de les op zijn eigen tijd en plaats volgen. Ik heb ook gekozen om divergent te differentieren zoals beschreven door Berben &amp; Teeseling (2014). De ll kan de leerstof en de opdrachten lezen en/of bekijken en luisteren. De opdracht uitvoeren kan ook op verschillende manieren, beschrijven, audio opnemen of filmen. De ll doorloopt deze les zelfstandig en kiest zijn eigen manier van kennis opname en verwerkingsopdracht. Het aanbieden van de verrijkingsopdracht is ook een vorm van differentieren voor ll die de basisleerstof voldoende beheersen. Alsje kijkt naar de taxonomie van Bloom, behandeld bij onderwijskunde (periode 1, 2017), dan gaan de gekozen opdrachten van lagere orde naar hogere orde denken. Aan het begin van de les leert de ll de begrippen kennen en onthouden (lagere orde denken)  in de volgende fase gaat hij de geleerde begrippen flexibel toepassen (hogere orde denken).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Als je kijkt naar de UDL principes heb ik me gehouden aan de volgende punten;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is de informatie van te voren plaats- en tijdsonafhankelijk beschikbaar?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met behulp van een computer is de informatie plaats- en tijdsonafhankelijk beschikbaar.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2.Kan de informatie door verschillende zintuigen opgenomen worden.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de informatie komt binnen via de ogen en of de oren.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Worden er verschillende mogelijkheden geboden om de leerstof te  begrijpen?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de ll kan de leerstof lezen in een word bestand en/of  bekijken via een filmpje van Youtube.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4.Zijn er verschillende manieren waarop de lerende actief met de leerstof werkt?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er zijn verschilllende verwerkingsopdrachten mogelijk.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Zijn er verschilllende manieren om het geleerde te tonen.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de ll mag het filmen, de audio opnemen of het proces beschrijven.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Worden er verschilllende manieren van ondersteuning gegeven om prioriteiten te stellen en doelen te bereiken?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Niet van toepassing bij deze 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Wordt er ingespeeld op de verschillende interesses.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als je kijkt naar leervoorkeur dan kan de ll kiezen uit lezen, kijken en of luisteren.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 Wordt het behalen van doelen gestimuleerd?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bij de verrijkingsopdracht wordt gewerkt met leerdoelen. De koppeling naar de praktijk wordt ook gemaakt.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 Worden er opties geboden voor zelfregulering?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 de opdracht wordt ingeleverd bij de docent en nabesproken in de les. Door het differentieren zijn er verschillende manieren van leren toe te passen door de student.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Literatuurlijst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Berben, M. &amp; Van Teeseling, M., </w:t>
      </w:r>
      <w:r>
        <w:rPr>
          <w:rFonts w:ascii="Calibri" w:hAnsi="Calibri" w:cs="Calibri" w:eastAsia="Calibri"/>
          <w:i/>
          <w:color w:val="auto"/>
          <w:spacing w:val="0"/>
          <w:position w:val="0"/>
          <w:sz w:val="22"/>
          <w:shd w:fill="auto" w:val="clear"/>
        </w:rPr>
        <w:t xml:space="preserve">Differentieren is te leren!, </w:t>
      </w:r>
      <w:r>
        <w:rPr>
          <w:rFonts w:ascii="Calibri" w:hAnsi="Calibri" w:cs="Calibri" w:eastAsia="Calibri"/>
          <w:color w:val="auto"/>
          <w:spacing w:val="0"/>
          <w:position w:val="0"/>
          <w:sz w:val="22"/>
          <w:shd w:fill="auto" w:val="clear"/>
        </w:rPr>
        <w:t xml:space="preserve">Amersfoort, Nederland: CPS Onderwijsontwikkeling en advies.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Geerts, W., &amp; Kralingen, R. Van. (2011). </w:t>
      </w:r>
      <w:r>
        <w:rPr>
          <w:rFonts w:ascii="Calibri" w:hAnsi="Calibri" w:cs="Calibri" w:eastAsia="Calibri"/>
          <w:i/>
          <w:color w:val="auto"/>
          <w:spacing w:val="0"/>
          <w:position w:val="0"/>
          <w:sz w:val="22"/>
          <w:shd w:fill="auto" w:val="clear"/>
        </w:rPr>
        <w:t xml:space="preserve">Handboek voor leraren</w:t>
      </w:r>
      <w:r>
        <w:rPr>
          <w:rFonts w:ascii="Calibri" w:hAnsi="Calibri" w:cs="Calibri" w:eastAsia="Calibri"/>
          <w:color w:val="auto"/>
          <w:spacing w:val="0"/>
          <w:position w:val="0"/>
          <w:sz w:val="22"/>
          <w:shd w:fill="auto" w:val="clear"/>
        </w:rPr>
        <w:t xml:space="preserve">. Bussum, Nederland: Coutinho.</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https://www.kennisnet.nl/fileadmin/kennisnet/publicatie/Ict-bekwaamheid_van_leraren.pdf</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College onderwijskunde periode 1 2017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kennisnet/" Id="docRId0" Type="http://schemas.openxmlformats.org/officeDocument/2006/relationships/hyperlink" /><Relationship TargetMode="External" Target="https://www.kennisnet.nl/fileadmin/kennisnet/publicatie/Ict-bekwaamheid_van_leraren.pdf"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