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D2C" w:rsidRPr="00B51905" w:rsidRDefault="00162D2C" w:rsidP="00162D2C">
      <w:r w:rsidRPr="00B51905">
        <w:t>Tabel 1;</w:t>
      </w:r>
    </w:p>
    <w:tbl>
      <w:tblPr>
        <w:tblStyle w:val="Tabelraster"/>
        <w:tblW w:w="9170" w:type="dxa"/>
        <w:tblLook w:val="04A0" w:firstRow="1" w:lastRow="0" w:firstColumn="1" w:lastColumn="0" w:noHBand="0" w:noVBand="1"/>
      </w:tblPr>
      <w:tblGrid>
        <w:gridCol w:w="3539"/>
        <w:gridCol w:w="2126"/>
        <w:gridCol w:w="3505"/>
      </w:tblGrid>
      <w:tr w:rsidR="00162D2C" w:rsidRPr="00B51905" w:rsidTr="00194B62">
        <w:trPr>
          <w:trHeight w:val="310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MOGELIJKE TOEVOEGING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ZIT WEL/NIET IN HET DINER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EVENTUEEL VOORBEELD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Gevoelens van de dader.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Niet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/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Voorbereiding van de daad.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 xml:space="preserve">Niet 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/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Motief van de daders.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wel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 xml:space="preserve">Het slachtoffer lag in de weg volgens de daders. 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Politieonderzoek.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Niet helemaal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Je leest wel in het boek dat op TV bij het programma ‘opsporing verzocht’ de camerabeelden uitgezonden worden waarop het slachtoffer wordt geschopt en geslagen en uiteindelijk de brand.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Gevoelens van slachtoffer.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Wel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Eerst werd het slachtoffer mishandeld, dat vond ze natuurlijk helemaal niet fijn. Daarbij werd ze ook uitgescholden en dat was natuurlijk ook helemaal niet leuk.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Gevoelens familieleden/vrienden van slachtoffer.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 xml:space="preserve">Niet 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Het slachtoffer was volgens het boek een zwerver.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Gevoelens familie/vrienden van daders.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 xml:space="preserve">Wel 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Vader van een dader (Michel) vindt het goed lijkt wel, hij moet namelijk glimlachen als Michel het verhaal verteld.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 xml:space="preserve">Gevoelens van rechercheurs. 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Niet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Je leest alleen in het boek wat er gebeurt en hoe dat het gebeurt.</w:t>
            </w:r>
          </w:p>
        </w:tc>
      </w:tr>
      <w:tr w:rsidR="00162D2C" w:rsidRPr="00B51905" w:rsidTr="00194B62">
        <w:trPr>
          <w:trHeight w:val="294"/>
        </w:trPr>
        <w:tc>
          <w:tcPr>
            <w:tcW w:w="3539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Kijkje in toekomst: hoe kijken de daders terug op hun daad?</w:t>
            </w:r>
          </w:p>
        </w:tc>
        <w:tc>
          <w:tcPr>
            <w:tcW w:w="2126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/</w:t>
            </w:r>
          </w:p>
        </w:tc>
        <w:tc>
          <w:tcPr>
            <w:tcW w:w="3505" w:type="dxa"/>
          </w:tcPr>
          <w:p w:rsidR="00162D2C" w:rsidRPr="00B51905" w:rsidRDefault="00162D2C" w:rsidP="00194B62">
            <w:pPr>
              <w:spacing w:after="160" w:line="259" w:lineRule="auto"/>
            </w:pPr>
            <w:r w:rsidRPr="00B51905">
              <w:t>Een dader voelt zich heel naar. Hij leeft volgens zijn ouders een beetje in angst.</w:t>
            </w:r>
          </w:p>
          <w:p w:rsidR="00162D2C" w:rsidRPr="00B51905" w:rsidRDefault="00162D2C" w:rsidP="00194B62">
            <w:pPr>
              <w:spacing w:after="160" w:line="259" w:lineRule="auto"/>
            </w:pPr>
            <w:r w:rsidRPr="00B51905">
              <w:t>De andere dader merk je eigenlijk niks van dat hij spijt heeft. Ook volgens zijn ouders. Je leest niet hoe de daders zich voelen.</w:t>
            </w:r>
          </w:p>
        </w:tc>
      </w:tr>
    </w:tbl>
    <w:p w:rsidR="00FE61B8" w:rsidRDefault="00FE61B8"/>
    <w:p w:rsidR="00162D2C" w:rsidRDefault="00162D2C"/>
    <w:p w:rsidR="00162D2C" w:rsidRDefault="00162D2C"/>
    <w:p w:rsidR="00162D2C" w:rsidRDefault="00162D2C"/>
    <w:p w:rsidR="00162D2C" w:rsidRDefault="00162D2C"/>
    <w:p w:rsidR="00162D2C" w:rsidRDefault="00162D2C">
      <w:bookmarkStart w:id="0" w:name="_GoBack"/>
      <w:bookmarkEnd w:id="0"/>
    </w:p>
    <w:sectPr w:rsidR="0016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D2C"/>
    <w:rsid w:val="00162D2C"/>
    <w:rsid w:val="004B7B36"/>
    <w:rsid w:val="00FE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C41F"/>
  <w15:chartTrackingRefBased/>
  <w15:docId w15:val="{550E9FFF-FCD1-4CB0-AE67-411C292A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62D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2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 Nelissen</dc:creator>
  <cp:keywords/>
  <dc:description/>
  <cp:lastModifiedBy>Yara Nelissen</cp:lastModifiedBy>
  <cp:revision>2</cp:revision>
  <dcterms:created xsi:type="dcterms:W3CDTF">2018-01-10T15:02:00Z</dcterms:created>
  <dcterms:modified xsi:type="dcterms:W3CDTF">2018-01-10T15:02:00Z</dcterms:modified>
</cp:coreProperties>
</file>