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t>Beschikbaar stellen, laten weten, opleveren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t>In het begin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t>Raad geven, tips geven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lastRenderedPageBreak/>
              <w:t>Stoppen, beëindigen, op slot doen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t>Vast maken, zeggen dat iets waar is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t>Het uitwisselen van informatie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lastRenderedPageBreak/>
              <w:t>Onwillig, koppig, tegen de richting in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t>Omgaan met, kunnen gebruiken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t>Geen aandacht geven, niet naar kijken of luisteren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lastRenderedPageBreak/>
              <w:t>Opvallen door een prestatie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t>Niet nodig, overbodig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t>Niet zeker, onbekend, twijfelend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t>Voor altijd, voortdurend</w:t>
            </w:r>
            <w:r w:rsidRPr="006B7049">
              <w:rPr>
                <w:rFonts w:ascii="Arial" w:hAnsi="Arial" w:cs="Arial"/>
                <w:sz w:val="96"/>
                <w:szCs w:val="96"/>
              </w:rPr>
              <w:br/>
              <w:t>kapsel met kunstmatige krullen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lastRenderedPageBreak/>
              <w:t>Op hetzelfde moment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t>Bepaalde soort, persoon met bepaalde eigenschappen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t>Laten zien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lastRenderedPageBreak/>
              <w:t>Weerspiegelen, uitdrukken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t>Manier, wijze man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t>Vanaf nu, in de toekomst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  <w:tr w:rsidR="006B7049" w:rsidRPr="006B7049" w:rsidTr="006B7049">
        <w:tc>
          <w:tcPr>
            <w:tcW w:w="14170" w:type="dxa"/>
          </w:tcPr>
          <w:p w:rsid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  <w:r w:rsidRPr="006B7049">
              <w:rPr>
                <w:rFonts w:ascii="Arial" w:hAnsi="Arial" w:cs="Arial"/>
                <w:sz w:val="96"/>
                <w:szCs w:val="96"/>
              </w:rPr>
              <w:t>Verandering, aanpassing</w:t>
            </w:r>
          </w:p>
          <w:p w:rsidR="006B7049" w:rsidRPr="006B7049" w:rsidRDefault="006B7049" w:rsidP="00634829">
            <w:pPr>
              <w:rPr>
                <w:rFonts w:ascii="Arial" w:hAnsi="Arial" w:cs="Arial"/>
                <w:sz w:val="96"/>
                <w:szCs w:val="96"/>
              </w:rPr>
            </w:pPr>
          </w:p>
        </w:tc>
      </w:tr>
    </w:tbl>
    <w:p w:rsidR="00765223" w:rsidRPr="006B7049" w:rsidRDefault="00765223" w:rsidP="006B7049">
      <w:pPr>
        <w:rPr>
          <w:sz w:val="96"/>
          <w:szCs w:val="96"/>
        </w:rPr>
      </w:pPr>
      <w:bookmarkStart w:id="0" w:name="_GoBack"/>
      <w:bookmarkEnd w:id="0"/>
    </w:p>
    <w:sectPr w:rsidR="00765223" w:rsidRPr="006B7049" w:rsidSect="006B70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049"/>
    <w:rsid w:val="006B7049"/>
    <w:rsid w:val="0076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24DE"/>
  <w15:chartTrackingRefBased/>
  <w15:docId w15:val="{C072253D-F048-41F5-B982-F7708E3F6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B70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B7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2017-11-20T13:52:00Z</dcterms:created>
  <dcterms:modified xsi:type="dcterms:W3CDTF">2017-11-20T13:55:00Z</dcterms:modified>
</cp:coreProperties>
</file>