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CC5871" w:rsidRPr="00CC5871" w:rsidRDefault="00CC5871" w:rsidP="00CC5871">
          <w:r w:rsidRPr="00CC5871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0288" behindDoc="0" locked="0" layoutInCell="1" allowOverlap="1" wp14:anchorId="72DAE370" wp14:editId="525427D6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C5871"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189292B" wp14:editId="05FD03B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20"/>
                                  <w:gridCol w:w="4772"/>
                                </w:tblGrid>
                                <w:tr w:rsidR="00CC5871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CC5871" w:rsidRDefault="00CC587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eastAsia="nl-NL"/>
                                        </w:rPr>
                                        <w:drawing>
                                          <wp:inline distT="0" distB="0" distL="0" distR="0" wp14:anchorId="299CBB48" wp14:editId="41C46396">
                                            <wp:extent cx="3619500" cy="3619500"/>
                                            <wp:effectExtent l="0" t="0" r="0" b="0"/>
                                            <wp:docPr id="3" name="Afbeelding 3" descr="https://mbo.malmbergwebshop.nl/media/catalog/product/cache/1/image/9df78eab33525d08d6e5fb8d27136e95/5/6/565955_380x380.pn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 descr="https://mbo.malmbergwebshop.nl/media/catalog/product/cache/1/image/9df78eab33525d08d6e5fb8d27136e95/5/6/565955_380x380.png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19500" cy="3619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CC5871" w:rsidRPr="00DC622E" w:rsidRDefault="00E8370A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CC5871" w:rsidRDefault="00CC5871" w:rsidP="00CC5871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 3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CC5871" w:rsidRPr="00DC622E" w:rsidRDefault="00F626B3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Leerjaar 1 MZ/VZ periode 2</w:t>
                                          </w:r>
                                        </w:p>
                                      </w:sdtContent>
                                    </w:sdt>
                                    <w:p w:rsidR="00CC5871" w:rsidRPr="00DC622E" w:rsidRDefault="000D5EC6">
                                      <w:pPr>
                                        <w:pStyle w:val="Geenafstand"/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t xml:space="preserve">Betty Holsappel, </w:t>
                                      </w:r>
                                      <w:sdt>
                                        <w:sdtPr>
                                          <w:rPr>
                                            <w:color w:val="2F5496" w:themeColor="accent5" w:themeShade="BF"/>
                                            <w:sz w:val="26"/>
                                            <w:szCs w:val="26"/>
                                          </w:rPr>
                                          <w:alias w:val="Auteur"/>
                                          <w:tag w:val=""/>
                                          <w:id w:val="-279026076"/>
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9D423F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Anke Ezinga</w:t>
                                          </w: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 &amp;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Giny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 Moltmaker</w:t>
                                          </w:r>
                                        </w:sdtContent>
                                      </w:sdt>
                                    </w:p>
                                    <w:p w:rsidR="00CC5871" w:rsidRDefault="0057553F" w:rsidP="00DC622E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CC5871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CC5871" w:rsidRDefault="00CC5871" w:rsidP="00CC587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189292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" fillcolor="window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20"/>
                            <w:gridCol w:w="4772"/>
                          </w:tblGrid>
                          <w:tr w:rsidR="00CC5871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CC5871" w:rsidRDefault="00CC587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eastAsia="nl-NL"/>
                                  </w:rPr>
                                  <w:drawing>
                                    <wp:inline distT="0" distB="0" distL="0" distR="0" wp14:anchorId="299CBB48" wp14:editId="41C46396">
                                      <wp:extent cx="3619500" cy="3619500"/>
                                      <wp:effectExtent l="0" t="0" r="0" b="0"/>
                                      <wp:docPr id="3" name="Afbeelding 3" descr="https://mbo.malmbergwebshop.nl/media/catalog/product/cache/1/image/9df78eab33525d08d6e5fb8d27136e95/5/6/565955_380x380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https://mbo.malmbergwebshop.nl/media/catalog/product/cache/1/image/9df78eab33525d08d6e5fb8d27136e95/5/6/565955_380x380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0" cy="3619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C5871" w:rsidRPr="00DC622E" w:rsidRDefault="00E8370A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C5871" w:rsidRDefault="00CC5871" w:rsidP="00CC5871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 3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CC5871" w:rsidRPr="00DC622E" w:rsidRDefault="00F626B3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Leerjaar 1 MZ/VZ periode 2</w:t>
                                    </w:r>
                                  </w:p>
                                </w:sdtContent>
                              </w:sdt>
                              <w:p w:rsidR="00CC5871" w:rsidRPr="00DC622E" w:rsidRDefault="000D5EC6">
                                <w:pPr>
                                  <w:pStyle w:val="Geenafstand"/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t xml:space="preserve">Betty Holsappel, </w:t>
                                </w:r>
                                <w:sdt>
                                  <w:sdtPr>
                                    <w:rPr>
                                      <w:color w:val="2F5496" w:themeColor="accent5" w:themeShade="BF"/>
                                      <w:sz w:val="26"/>
                                      <w:szCs w:val="26"/>
                                    </w:rPr>
                                    <w:alias w:val="Auteur"/>
                                    <w:tag w:val=""/>
                                    <w:id w:val="-27902607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D423F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Anke Ezinga</w:t>
                                    </w: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 &amp; </w:t>
                                    </w:r>
                                    <w:proofErr w:type="spellStart"/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Giny</w:t>
                                    </w:r>
                                    <w:proofErr w:type="spellEnd"/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 Moltmaker</w:t>
                                    </w:r>
                                  </w:sdtContent>
                                </w:sdt>
                              </w:p>
                              <w:p w:rsidR="00CC5871" w:rsidRDefault="0057553F" w:rsidP="00DC622E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C5871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CC5871" w:rsidRDefault="00CC5871" w:rsidP="00CC587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CC5871">
            <w:br w:type="page"/>
          </w:r>
        </w:p>
      </w:sdtContent>
    </w:sdt>
    <w:p w:rsid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5230BA" w:rsidRPr="001D4538" w:rsidRDefault="005230BA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1D4538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Module 3 De cliënt als uniek mens</w:t>
      </w:r>
    </w:p>
    <w:p w:rsidR="00E65B4A" w:rsidRPr="00E65B4A" w:rsidRDefault="00C87FA2" w:rsidP="00E65B4A">
      <w:pPr>
        <w:keepNext/>
        <w:keepLines/>
        <w:spacing w:before="240" w:after="0"/>
        <w:outlineLvl w:val="0"/>
        <w:rPr>
          <w:rFonts w:eastAsiaTheme="majorEastAsia" w:cstheme="majorBidi"/>
        </w:rPr>
      </w:pPr>
      <w:r w:rsidRPr="00E65B4A">
        <w:rPr>
          <w:rFonts w:eastAsiaTheme="majorEastAsia" w:cstheme="majorBidi"/>
        </w:rPr>
        <w:t>We behandelen deze periode</w:t>
      </w:r>
      <w:r w:rsidR="00732ADB" w:rsidRPr="00E65B4A">
        <w:rPr>
          <w:rFonts w:eastAsiaTheme="majorEastAsia" w:cstheme="majorBidi"/>
        </w:rPr>
        <w:t>;</w:t>
      </w:r>
      <w:r w:rsidRPr="00E65B4A">
        <w:rPr>
          <w:rFonts w:eastAsiaTheme="majorEastAsia" w:cstheme="majorBidi"/>
        </w:rPr>
        <w:t xml:space="preserve"> hoofdstuk 1 </w:t>
      </w:r>
      <w:r w:rsidR="001D4538" w:rsidRPr="00E65B4A">
        <w:rPr>
          <w:rFonts w:eastAsiaTheme="majorEastAsia" w:cstheme="majorBidi"/>
        </w:rPr>
        <w:t xml:space="preserve">Cliënten met een lichamelijke beperking en hoofdstuk 2 Cliënten met een verstandelijke beperking. Ook gaan </w:t>
      </w:r>
      <w:r w:rsidR="009D423F" w:rsidRPr="00E65B4A">
        <w:rPr>
          <w:rFonts w:eastAsiaTheme="majorEastAsia" w:cstheme="majorBidi"/>
        </w:rPr>
        <w:t>jullie gaan a</w:t>
      </w:r>
      <w:r w:rsidR="001D4538" w:rsidRPr="00E65B4A">
        <w:rPr>
          <w:rFonts w:eastAsiaTheme="majorEastAsia" w:cstheme="majorBidi"/>
        </w:rPr>
        <w:t xml:space="preserve">an de slag met </w:t>
      </w:r>
      <w:r w:rsidR="00F626B3" w:rsidRPr="00E65B4A">
        <w:rPr>
          <w:rFonts w:eastAsiaTheme="majorEastAsia" w:cstheme="majorBidi"/>
        </w:rPr>
        <w:t>de</w:t>
      </w:r>
      <w:r w:rsidR="001D4538" w:rsidRPr="00E65B4A">
        <w:rPr>
          <w:rFonts w:eastAsiaTheme="majorEastAsia" w:cstheme="majorBidi"/>
        </w:rPr>
        <w:t xml:space="preserve"> </w:t>
      </w:r>
      <w:r w:rsidR="00F626B3" w:rsidRPr="00E65B4A">
        <w:rPr>
          <w:rFonts w:eastAsiaTheme="majorEastAsia" w:cstheme="majorBidi"/>
        </w:rPr>
        <w:t>leeropdrachten; omgaan met agressie en intimiteit en seksualiteit.</w:t>
      </w:r>
    </w:p>
    <w:p w:rsidR="00CC5871" w:rsidRP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Benodigdheden tijdens vak</w:t>
      </w:r>
    </w:p>
    <w:p w:rsidR="00CC5871" w:rsidRPr="00CC5871" w:rsidRDefault="001D4538" w:rsidP="00CC5871">
      <w:pPr>
        <w:rPr>
          <w:i/>
        </w:rPr>
      </w:pPr>
      <w:r>
        <w:rPr>
          <w:i/>
        </w:rPr>
        <w:t>Voor deze lessen wordt het theorie en opdrachtenboek van module 3. gebruikt. Zorg dat je deze</w:t>
      </w:r>
      <w:r w:rsidR="00CC5871" w:rsidRPr="00CC5871">
        <w:rPr>
          <w:i/>
        </w:rPr>
        <w:t xml:space="preserve"> boek</w:t>
      </w:r>
      <w:r>
        <w:rPr>
          <w:i/>
        </w:rPr>
        <w:t>en</w:t>
      </w:r>
      <w:r w:rsidR="00CC5871" w:rsidRPr="00CC5871">
        <w:rPr>
          <w:i/>
        </w:rPr>
        <w:t xml:space="preserve"> bij je hebt bij elke les</w:t>
      </w:r>
      <w:r w:rsidR="00170129">
        <w:rPr>
          <w:i/>
        </w:rPr>
        <w:t>.</w:t>
      </w:r>
      <w:r w:rsidR="00CC5871" w:rsidRPr="00CC5871">
        <w:rPr>
          <w:i/>
        </w:rPr>
        <w:t xml:space="preserve">  Oo</w:t>
      </w:r>
      <w:r w:rsidR="00732ADB">
        <w:rPr>
          <w:i/>
        </w:rPr>
        <w:t>k wordt er gebruik gemaakt van een digitale leeromgeving</w:t>
      </w:r>
      <w:r w:rsidR="00CC5871" w:rsidRPr="00CC5871">
        <w:rPr>
          <w:i/>
        </w:rPr>
        <w:t xml:space="preserve">. </w:t>
      </w:r>
    </w:p>
    <w:p w:rsidR="00CC5871" w:rsidRP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Doelen</w:t>
      </w:r>
    </w:p>
    <w:p w:rsidR="00CC5871" w:rsidRDefault="00CC5871" w:rsidP="00CC5871">
      <w:pPr>
        <w:rPr>
          <w:i/>
        </w:rPr>
      </w:pPr>
      <w:r w:rsidRPr="00CC5871">
        <w:rPr>
          <w:i/>
        </w:rPr>
        <w:t>Tijdens deze periode zal er aan de volgende doelen gewerkt worden:</w:t>
      </w:r>
    </w:p>
    <w:p w:rsidR="00E65B4A" w:rsidRDefault="00E65B4A" w:rsidP="00CC5871">
      <w:pPr>
        <w:rPr>
          <w:i/>
        </w:rPr>
      </w:pPr>
      <w:r>
        <w:rPr>
          <w:i/>
        </w:rPr>
        <w:t>Je kunt uitleggen wat agressie is.</w:t>
      </w:r>
    </w:p>
    <w:p w:rsidR="00E65B4A" w:rsidRDefault="00E65B4A" w:rsidP="00CC5871">
      <w:pPr>
        <w:rPr>
          <w:i/>
        </w:rPr>
      </w:pPr>
      <w:r>
        <w:rPr>
          <w:i/>
        </w:rPr>
        <w:t>Je kunt verschillende vormen en uitingen van agressie noemen.</w:t>
      </w:r>
    </w:p>
    <w:p w:rsidR="00E65B4A" w:rsidRDefault="00E65B4A" w:rsidP="00CC5871">
      <w:pPr>
        <w:rPr>
          <w:i/>
        </w:rPr>
      </w:pPr>
      <w:r>
        <w:rPr>
          <w:i/>
        </w:rPr>
        <w:t>Je kunt signalen van (opkomende) agressie herkennen.</w:t>
      </w:r>
    </w:p>
    <w:p w:rsidR="00E65B4A" w:rsidRPr="00CC5871" w:rsidRDefault="00E65B4A" w:rsidP="00CC5871">
      <w:pPr>
        <w:rPr>
          <w:i/>
        </w:rPr>
      </w:pPr>
      <w:r>
        <w:rPr>
          <w:i/>
        </w:rPr>
        <w:t>Je kunt aanwijzingen geven hoe professioneel te reageren op agressie.</w:t>
      </w:r>
    </w:p>
    <w:p w:rsidR="00CC5871" w:rsidRDefault="00F626B3" w:rsidP="00CC5871">
      <w:pPr>
        <w:rPr>
          <w:i/>
        </w:rPr>
      </w:pPr>
      <w:r>
        <w:rPr>
          <w:i/>
        </w:rPr>
        <w:t>Je kunt voorbeelden geven van hoe intimiteit en seksualiteit door het leven heen veranderen.</w:t>
      </w:r>
    </w:p>
    <w:p w:rsidR="00F626B3" w:rsidRDefault="00E65B4A" w:rsidP="00CC5871">
      <w:pPr>
        <w:rPr>
          <w:i/>
        </w:rPr>
      </w:pPr>
      <w:r>
        <w:rPr>
          <w:i/>
        </w:rPr>
        <w:t>Je kunt d</w:t>
      </w:r>
      <w:r w:rsidR="00F626B3">
        <w:rPr>
          <w:i/>
        </w:rPr>
        <w:t>e rol verduidelijken met betrekking tot intimiteit en seksualiteit van cliënten in de zorg.</w:t>
      </w:r>
    </w:p>
    <w:p w:rsidR="00F626B3" w:rsidRPr="00CC5871" w:rsidRDefault="00E65B4A" w:rsidP="00CC5871">
      <w:pPr>
        <w:rPr>
          <w:i/>
        </w:rPr>
      </w:pPr>
      <w:r>
        <w:rPr>
          <w:i/>
        </w:rPr>
        <w:t>Je kunt p</w:t>
      </w:r>
      <w:r w:rsidR="00F626B3">
        <w:rPr>
          <w:i/>
        </w:rPr>
        <w:t xml:space="preserve">rofessioneel handelen bij </w:t>
      </w:r>
      <w:r>
        <w:rPr>
          <w:i/>
        </w:rPr>
        <w:t>intimiteit en seksualiteit in de zorg.</w:t>
      </w:r>
    </w:p>
    <w:p w:rsidR="00CC5871" w:rsidRP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Werkprocessen</w:t>
      </w:r>
    </w:p>
    <w:p w:rsidR="00CC5871" w:rsidRDefault="00CC5871" w:rsidP="00CC5871">
      <w:pPr>
        <w:rPr>
          <w:i/>
        </w:rPr>
      </w:pPr>
      <w:r w:rsidRPr="00CC5871">
        <w:rPr>
          <w:i/>
        </w:rPr>
        <w:t>Deze doelen sluiten aan bij de volgende werkprocessen en competenties:</w:t>
      </w:r>
    </w:p>
    <w:p w:rsidR="00CC5871" w:rsidRDefault="00C768E0" w:rsidP="00CC5871">
      <w:pPr>
        <w:rPr>
          <w:i/>
        </w:rPr>
      </w:pPr>
      <w:r>
        <w:rPr>
          <w:i/>
        </w:rPr>
        <w:t xml:space="preserve">VZ; </w:t>
      </w:r>
      <w:r w:rsidR="001D4538">
        <w:rPr>
          <w:i/>
        </w:rPr>
        <w:t>B1K1W2, B1K1W</w:t>
      </w:r>
      <w:r w:rsidR="00BE0BEC">
        <w:rPr>
          <w:i/>
        </w:rPr>
        <w:t>5, B1K1W6, B1K1W7,</w:t>
      </w:r>
      <w:r>
        <w:rPr>
          <w:i/>
        </w:rPr>
        <w:t xml:space="preserve"> B1K1W8, B1K1W9, B1K2W2, P2K1W2</w:t>
      </w:r>
    </w:p>
    <w:p w:rsidR="00C768E0" w:rsidRPr="00CC5871" w:rsidRDefault="00C768E0" w:rsidP="00CC5871">
      <w:pPr>
        <w:rPr>
          <w:i/>
        </w:rPr>
      </w:pPr>
      <w:r>
        <w:rPr>
          <w:i/>
        </w:rPr>
        <w:t>MZ; B1K1W5, B1K1:P3, P4, P5, P6</w:t>
      </w:r>
    </w:p>
    <w:p w:rsid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Vak afgerond als: </w:t>
      </w:r>
    </w:p>
    <w:p w:rsidR="00755622" w:rsidRPr="007E180C" w:rsidRDefault="00755622" w:rsidP="00755622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voldoende aanwezig bent; je mist niet vaker dan 2 keer met een geldige reden een les en bent zelf verantwoordelijk voor het inhalen van de gemiste lesstof.</w:t>
      </w:r>
    </w:p>
    <w:p w:rsidR="00755622" w:rsidRPr="007E180C" w:rsidRDefault="00755622" w:rsidP="00755622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tijdens de les een actieve houding hebt.</w:t>
      </w:r>
    </w:p>
    <w:p w:rsidR="00755622" w:rsidRPr="007E180C" w:rsidRDefault="00755622" w:rsidP="00755622">
      <w:pPr>
        <w:pStyle w:val="Lijstalinea"/>
        <w:numPr>
          <w:ilvl w:val="0"/>
          <w:numId w:val="2"/>
        </w:numPr>
        <w:rPr>
          <w:i/>
        </w:rPr>
      </w:pPr>
      <w:r w:rsidRPr="007E180C">
        <w:rPr>
          <w:i/>
        </w:rPr>
        <w:t>Je de opdrachten hebt gemaakt en ingeleverd.</w:t>
      </w:r>
    </w:p>
    <w:p w:rsidR="00755622" w:rsidRPr="00755622" w:rsidRDefault="00F0381C" w:rsidP="00755622">
      <w:pPr>
        <w:pStyle w:val="Lijstalinea"/>
        <w:numPr>
          <w:ilvl w:val="0"/>
          <w:numId w:val="2"/>
        </w:numPr>
        <w:rPr>
          <w:i/>
        </w:rPr>
      </w:pPr>
      <w:r>
        <w:rPr>
          <w:i/>
        </w:rPr>
        <w:t>Je een voldoende op de toets hebt gehaald.</w:t>
      </w:r>
    </w:p>
    <w:p w:rsidR="00CC5871" w:rsidRPr="00CC5871" w:rsidRDefault="00732ADB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Toetsing:</w:t>
      </w:r>
    </w:p>
    <w:p w:rsidR="00CC5871" w:rsidRPr="00E65B4A" w:rsidRDefault="00732ADB" w:rsidP="00CC5871">
      <w:pPr>
        <w:rPr>
          <w:i/>
        </w:rPr>
      </w:pPr>
      <w:r>
        <w:rPr>
          <w:i/>
        </w:rPr>
        <w:t>Theorietoets</w:t>
      </w:r>
    </w:p>
    <w:p w:rsidR="00CC5871" w:rsidRP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Contactgegevens docent</w:t>
      </w:r>
    </w:p>
    <w:p w:rsidR="00CC5871" w:rsidRPr="00CC5871" w:rsidRDefault="00170129" w:rsidP="00CC5871">
      <w:r>
        <w:t>Anke Ezinga</w:t>
      </w:r>
      <w:r>
        <w:br/>
        <w:t xml:space="preserve">Aanwezig op; dinsdag en donderdag </w:t>
      </w:r>
      <w:r w:rsidR="00CC5871" w:rsidRPr="00CC5871">
        <w:br/>
        <w:t>Emailadres</w:t>
      </w:r>
      <w:r>
        <w:t xml:space="preserve">; ag.ezinga@rocmensoalting.nl </w:t>
      </w:r>
    </w:p>
    <w:p w:rsidR="00CC5871" w:rsidRPr="00CC5871" w:rsidRDefault="00CC5871" w:rsidP="00CC5871"/>
    <w:p w:rsidR="00CC5871" w:rsidRPr="00CC5871" w:rsidRDefault="00CC5871" w:rsidP="00CC5871"/>
    <w:p w:rsidR="00CC5871" w:rsidRPr="00CC5871" w:rsidRDefault="00CC5871" w:rsidP="00CC5871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CC5871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Periode planning</w:t>
      </w:r>
    </w:p>
    <w:p w:rsidR="00CC5871" w:rsidRPr="00CC5871" w:rsidRDefault="00CC5871" w:rsidP="00CC587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68"/>
        <w:gridCol w:w="2946"/>
        <w:gridCol w:w="2239"/>
      </w:tblGrid>
      <w:tr w:rsidR="00A27450" w:rsidRPr="00CC5871" w:rsidTr="0027162F">
        <w:tc>
          <w:tcPr>
            <w:tcW w:w="1209" w:type="dxa"/>
          </w:tcPr>
          <w:p w:rsidR="00CC5871" w:rsidRPr="00CC5871" w:rsidRDefault="00487646" w:rsidP="00CC5871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 xml:space="preserve">Week </w:t>
            </w:r>
          </w:p>
        </w:tc>
        <w:tc>
          <w:tcPr>
            <w:tcW w:w="2668" w:type="dxa"/>
          </w:tcPr>
          <w:p w:rsidR="00CC5871" w:rsidRPr="00CC5871" w:rsidRDefault="00A27450" w:rsidP="00CC5871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THEORIE</w:t>
            </w:r>
          </w:p>
        </w:tc>
        <w:tc>
          <w:tcPr>
            <w:tcW w:w="2946" w:type="dxa"/>
          </w:tcPr>
          <w:p w:rsidR="00CC5871" w:rsidRPr="00CC5871" w:rsidRDefault="00A27450" w:rsidP="00CC5871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OPDRACHT</w:t>
            </w:r>
          </w:p>
        </w:tc>
        <w:tc>
          <w:tcPr>
            <w:tcW w:w="2239" w:type="dxa"/>
          </w:tcPr>
          <w:p w:rsidR="00CC5871" w:rsidRPr="00CC5871" w:rsidRDefault="00A27450" w:rsidP="00CC5871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EXTRA</w:t>
            </w:r>
          </w:p>
        </w:tc>
      </w:tr>
      <w:tr w:rsidR="00A27450" w:rsidRPr="00CC5871" w:rsidTr="0027162F">
        <w:tc>
          <w:tcPr>
            <w:tcW w:w="1209" w:type="dxa"/>
          </w:tcPr>
          <w:p w:rsidR="00CC5871" w:rsidRPr="00CC5871" w:rsidRDefault="00487646" w:rsidP="00CC5871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47</w:t>
            </w:r>
          </w:p>
          <w:p w:rsidR="00CC5871" w:rsidRPr="00CC5871" w:rsidRDefault="00CC5871" w:rsidP="00CC5871">
            <w:pPr>
              <w:jc w:val="center"/>
              <w:rPr>
                <w:b/>
                <w:color w:val="C00000"/>
              </w:rPr>
            </w:pPr>
          </w:p>
          <w:p w:rsidR="00CC5871" w:rsidRPr="00CC5871" w:rsidRDefault="00CC5871" w:rsidP="00CC5871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CC5871" w:rsidRDefault="00CC5871" w:rsidP="00487646">
            <w:pPr>
              <w:jc w:val="center"/>
            </w:pPr>
          </w:p>
          <w:p w:rsidR="00487646" w:rsidRPr="00CC5871" w:rsidRDefault="00487646" w:rsidP="00487646">
            <w:pPr>
              <w:jc w:val="center"/>
            </w:pPr>
            <w:r>
              <w:t>x</w:t>
            </w:r>
          </w:p>
        </w:tc>
        <w:tc>
          <w:tcPr>
            <w:tcW w:w="2946" w:type="dxa"/>
          </w:tcPr>
          <w:p w:rsidR="00CC5871" w:rsidRDefault="00CC5871" w:rsidP="00CC5871"/>
          <w:p w:rsidR="00487646" w:rsidRPr="00CC5871" w:rsidRDefault="00487646" w:rsidP="00487646">
            <w:pPr>
              <w:jc w:val="center"/>
            </w:pPr>
            <w:r>
              <w:t>x</w:t>
            </w:r>
          </w:p>
        </w:tc>
        <w:tc>
          <w:tcPr>
            <w:tcW w:w="2239" w:type="dxa"/>
          </w:tcPr>
          <w:p w:rsidR="00CC5871" w:rsidRDefault="00CC5871" w:rsidP="00487646">
            <w:pPr>
              <w:jc w:val="center"/>
            </w:pPr>
          </w:p>
          <w:p w:rsidR="00487646" w:rsidRPr="00CC5871" w:rsidRDefault="00487646" w:rsidP="00487646">
            <w:pPr>
              <w:jc w:val="center"/>
            </w:pPr>
            <w:r>
              <w:t>x</w:t>
            </w:r>
          </w:p>
        </w:tc>
      </w:tr>
      <w:tr w:rsidR="00487646" w:rsidRPr="00CC5871" w:rsidTr="0027162F">
        <w:tc>
          <w:tcPr>
            <w:tcW w:w="1209" w:type="dxa"/>
          </w:tcPr>
          <w:p w:rsidR="00487646" w:rsidRPr="00CC5871" w:rsidRDefault="00487646" w:rsidP="00487646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48</w:t>
            </w:r>
          </w:p>
          <w:p w:rsidR="00487646" w:rsidRPr="00CC5871" w:rsidRDefault="00487646" w:rsidP="00487646">
            <w:pPr>
              <w:jc w:val="center"/>
              <w:rPr>
                <w:b/>
                <w:color w:val="C00000"/>
              </w:rPr>
            </w:pPr>
          </w:p>
          <w:p w:rsidR="00487646" w:rsidRPr="00CC5871" w:rsidRDefault="00487646" w:rsidP="00487646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487646" w:rsidRPr="00CC5871" w:rsidRDefault="00487646" w:rsidP="00487646">
            <w:r>
              <w:t>Cliënten met een verstandelijke beperking</w:t>
            </w:r>
          </w:p>
        </w:tc>
        <w:tc>
          <w:tcPr>
            <w:tcW w:w="2946" w:type="dxa"/>
          </w:tcPr>
          <w:p w:rsidR="00487646" w:rsidRPr="00CC5871" w:rsidRDefault="00487646" w:rsidP="00487646"/>
        </w:tc>
        <w:tc>
          <w:tcPr>
            <w:tcW w:w="2239" w:type="dxa"/>
          </w:tcPr>
          <w:p w:rsidR="00487646" w:rsidRPr="00CC5871" w:rsidRDefault="00487646" w:rsidP="00487646">
            <w:bookmarkStart w:id="0" w:name="_GoBack"/>
            <w:bookmarkEnd w:id="0"/>
          </w:p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49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verstandelijke beperking</w:t>
            </w:r>
          </w:p>
        </w:tc>
        <w:tc>
          <w:tcPr>
            <w:tcW w:w="2946" w:type="dxa"/>
          </w:tcPr>
          <w:p w:rsidR="0057553F" w:rsidRPr="00CC5871" w:rsidRDefault="0057553F" w:rsidP="0057553F">
            <w:r>
              <w:t>Omgaan met agressie opdracht A</w:t>
            </w:r>
          </w:p>
        </w:tc>
        <w:tc>
          <w:tcPr>
            <w:tcW w:w="2239" w:type="dxa"/>
          </w:tcPr>
          <w:p w:rsidR="0057553F" w:rsidRPr="00CC5871" w:rsidRDefault="0057553F" w:rsidP="0057553F"/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50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verstandelijke beperking</w:t>
            </w:r>
          </w:p>
        </w:tc>
        <w:tc>
          <w:tcPr>
            <w:tcW w:w="2946" w:type="dxa"/>
          </w:tcPr>
          <w:p w:rsidR="0057553F" w:rsidRPr="00CC5871" w:rsidRDefault="0057553F" w:rsidP="0057553F">
            <w:r>
              <w:t>Omgaan met agressie opdracht B</w:t>
            </w:r>
          </w:p>
        </w:tc>
        <w:tc>
          <w:tcPr>
            <w:tcW w:w="2239" w:type="dxa"/>
          </w:tcPr>
          <w:p w:rsidR="0057553F" w:rsidRPr="00CC5871" w:rsidRDefault="0057553F" w:rsidP="0057553F"/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51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verstandelijke beperking</w:t>
            </w:r>
          </w:p>
        </w:tc>
        <w:tc>
          <w:tcPr>
            <w:tcW w:w="2946" w:type="dxa"/>
          </w:tcPr>
          <w:p w:rsidR="0057553F" w:rsidRPr="00CC5871" w:rsidRDefault="0057553F" w:rsidP="0057553F">
            <w:r>
              <w:t>Omgaan met agressie opdracht B</w:t>
            </w:r>
          </w:p>
        </w:tc>
        <w:tc>
          <w:tcPr>
            <w:tcW w:w="2239" w:type="dxa"/>
          </w:tcPr>
          <w:p w:rsidR="0057553F" w:rsidRPr="00CC5871" w:rsidRDefault="0057553F" w:rsidP="0057553F"/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lichamelijke beperking</w:t>
            </w:r>
          </w:p>
        </w:tc>
        <w:tc>
          <w:tcPr>
            <w:tcW w:w="2946" w:type="dxa"/>
          </w:tcPr>
          <w:p w:rsidR="0057553F" w:rsidRPr="00CC5871" w:rsidRDefault="0057553F" w:rsidP="0057553F"/>
        </w:tc>
        <w:tc>
          <w:tcPr>
            <w:tcW w:w="2239" w:type="dxa"/>
          </w:tcPr>
          <w:p w:rsidR="0057553F" w:rsidRPr="00CC5871" w:rsidRDefault="0057553F" w:rsidP="0057553F">
            <w:r>
              <w:t>Gastles Visio</w:t>
            </w:r>
          </w:p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lichamelijke beperking</w:t>
            </w:r>
          </w:p>
        </w:tc>
        <w:tc>
          <w:tcPr>
            <w:tcW w:w="2946" w:type="dxa"/>
          </w:tcPr>
          <w:p w:rsidR="0057553F" w:rsidRPr="00CC5871" w:rsidRDefault="0057553F" w:rsidP="0057553F">
            <w:r>
              <w:t>Intimiteit en seksualiteit opdracht A</w:t>
            </w:r>
          </w:p>
        </w:tc>
        <w:tc>
          <w:tcPr>
            <w:tcW w:w="2239" w:type="dxa"/>
          </w:tcPr>
          <w:p w:rsidR="0057553F" w:rsidRDefault="0057553F" w:rsidP="0057553F">
            <w:r>
              <w:t>De Hokjesman</w:t>
            </w:r>
          </w:p>
          <w:p w:rsidR="0057553F" w:rsidRPr="00CC5871" w:rsidRDefault="0057553F" w:rsidP="0057553F">
            <w:r>
              <w:t>Afl. De Doven</w:t>
            </w:r>
          </w:p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Default="0057553F" w:rsidP="0057553F">
            <w:r>
              <w:t>Cliënten met een lichamelijke beperking</w:t>
            </w:r>
          </w:p>
          <w:p w:rsidR="0057553F" w:rsidRPr="00CC5871" w:rsidRDefault="0057553F" w:rsidP="0057553F"/>
        </w:tc>
        <w:tc>
          <w:tcPr>
            <w:tcW w:w="2946" w:type="dxa"/>
          </w:tcPr>
          <w:p w:rsidR="0057553F" w:rsidRPr="00CC5871" w:rsidRDefault="0057553F" w:rsidP="0057553F">
            <w:r>
              <w:t>Intimiteit en seksualiteit opdracht B</w:t>
            </w:r>
          </w:p>
        </w:tc>
        <w:tc>
          <w:tcPr>
            <w:tcW w:w="2239" w:type="dxa"/>
          </w:tcPr>
          <w:p w:rsidR="0057553F" w:rsidRPr="00CC5871" w:rsidRDefault="0057553F" w:rsidP="0057553F"/>
        </w:tc>
      </w:tr>
      <w:tr w:rsidR="0057553F" w:rsidRPr="00CC5871" w:rsidTr="0027162F">
        <w:tc>
          <w:tcPr>
            <w:tcW w:w="1209" w:type="dxa"/>
          </w:tcPr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68" w:type="dxa"/>
          </w:tcPr>
          <w:p w:rsidR="0057553F" w:rsidRPr="00CC5871" w:rsidRDefault="0057553F" w:rsidP="0057553F">
            <w:r>
              <w:t>Cliënten met een lichamelijke beperking</w:t>
            </w:r>
          </w:p>
        </w:tc>
        <w:tc>
          <w:tcPr>
            <w:tcW w:w="2946" w:type="dxa"/>
          </w:tcPr>
          <w:p w:rsidR="0057553F" w:rsidRPr="00CC5871" w:rsidRDefault="0057553F" w:rsidP="0057553F">
            <w:r>
              <w:t>Intimiteit en seksualiteit opdracht B</w:t>
            </w:r>
          </w:p>
        </w:tc>
        <w:tc>
          <w:tcPr>
            <w:tcW w:w="2239" w:type="dxa"/>
          </w:tcPr>
          <w:p w:rsidR="0057553F" w:rsidRPr="00CC5871" w:rsidRDefault="0057553F" w:rsidP="0057553F"/>
        </w:tc>
      </w:tr>
      <w:tr w:rsidR="0057553F" w:rsidRPr="00CC5871" w:rsidTr="000A7990">
        <w:tc>
          <w:tcPr>
            <w:tcW w:w="1209" w:type="dxa"/>
          </w:tcPr>
          <w:p w:rsidR="0057553F" w:rsidRDefault="0057553F" w:rsidP="0057553F">
            <w:pPr>
              <w:jc w:val="center"/>
              <w:rPr>
                <w:b/>
                <w:color w:val="C00000"/>
              </w:rPr>
            </w:pPr>
          </w:p>
          <w:p w:rsidR="0057553F" w:rsidRPr="00CC5871" w:rsidRDefault="0057553F" w:rsidP="0057553F">
            <w:pPr>
              <w:jc w:val="center"/>
              <w:rPr>
                <w:b/>
                <w:color w:val="C00000"/>
              </w:rPr>
            </w:pPr>
            <w:r w:rsidRPr="00CC5871">
              <w:rPr>
                <w:b/>
                <w:color w:val="C00000"/>
              </w:rPr>
              <w:t>PLUSWEEK</w:t>
            </w:r>
          </w:p>
        </w:tc>
        <w:tc>
          <w:tcPr>
            <w:tcW w:w="7853" w:type="dxa"/>
            <w:gridSpan w:val="3"/>
          </w:tcPr>
          <w:p w:rsidR="0057553F" w:rsidRDefault="0057553F" w:rsidP="0057553F"/>
          <w:p w:rsidR="0057553F" w:rsidRDefault="0057553F" w:rsidP="0057553F">
            <w:r>
              <w:t xml:space="preserve">           Theorietoets</w:t>
            </w:r>
          </w:p>
          <w:p w:rsidR="0057553F" w:rsidRPr="00CC5871" w:rsidRDefault="0057553F" w:rsidP="0057553F"/>
        </w:tc>
      </w:tr>
    </w:tbl>
    <w:p w:rsidR="00CC5871" w:rsidRPr="00CC5871" w:rsidRDefault="00CC5871" w:rsidP="00CC5871"/>
    <w:p w:rsidR="00CC5871" w:rsidRPr="00CC5871" w:rsidRDefault="00CC5871" w:rsidP="00CC5871"/>
    <w:p w:rsidR="00CC5871" w:rsidRPr="00CC5871" w:rsidRDefault="00CC5871" w:rsidP="00CC5871"/>
    <w:p w:rsidR="00A64109" w:rsidRDefault="00A64109"/>
    <w:sectPr w:rsidR="00A64109" w:rsidSect="00DC62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26D" w:rsidRDefault="00E65B4A">
      <w:pPr>
        <w:spacing w:after="0" w:line="240" w:lineRule="auto"/>
      </w:pPr>
      <w:r>
        <w:separator/>
      </w:r>
    </w:p>
  </w:endnote>
  <w:endnote w:type="continuationSeparator" w:id="0">
    <w:p w:rsidR="0041326D" w:rsidRDefault="00E6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AA2475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3F">
          <w:rPr>
            <w:noProof/>
          </w:rPr>
          <w:t>1</w:t>
        </w:r>
        <w:r>
          <w:fldChar w:fldCharType="end"/>
        </w:r>
      </w:p>
    </w:sdtContent>
  </w:sdt>
  <w:p w:rsidR="00832761" w:rsidRDefault="005755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26D" w:rsidRDefault="00E65B4A">
      <w:pPr>
        <w:spacing w:after="0" w:line="240" w:lineRule="auto"/>
      </w:pPr>
      <w:r>
        <w:separator/>
      </w:r>
    </w:p>
  </w:footnote>
  <w:footnote w:type="continuationSeparator" w:id="0">
    <w:p w:rsidR="0041326D" w:rsidRDefault="00E65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AA2475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78E5764C" wp14:editId="15F84B41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6691"/>
    <w:multiLevelType w:val="hybridMultilevel"/>
    <w:tmpl w:val="21EA7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71"/>
    <w:rsid w:val="000D5EC6"/>
    <w:rsid w:val="00170129"/>
    <w:rsid w:val="001A46F1"/>
    <w:rsid w:val="001D4538"/>
    <w:rsid w:val="0027162F"/>
    <w:rsid w:val="0041326D"/>
    <w:rsid w:val="00487646"/>
    <w:rsid w:val="005230BA"/>
    <w:rsid w:val="0057553F"/>
    <w:rsid w:val="00732ADB"/>
    <w:rsid w:val="00755622"/>
    <w:rsid w:val="00893A02"/>
    <w:rsid w:val="009C42AE"/>
    <w:rsid w:val="009D423F"/>
    <w:rsid w:val="009E635D"/>
    <w:rsid w:val="00A27450"/>
    <w:rsid w:val="00A64109"/>
    <w:rsid w:val="00AA2475"/>
    <w:rsid w:val="00BC1A5D"/>
    <w:rsid w:val="00BE0BEC"/>
    <w:rsid w:val="00C768E0"/>
    <w:rsid w:val="00C87FA2"/>
    <w:rsid w:val="00CC5871"/>
    <w:rsid w:val="00E65B4A"/>
    <w:rsid w:val="00E8370A"/>
    <w:rsid w:val="00F0381C"/>
    <w:rsid w:val="00F6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E8535-9D8E-4DF8-88DB-D86E4280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C587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C5871"/>
    <w:rPr>
      <w:rFonts w:eastAsiaTheme="minorEastAsia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C5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5871"/>
  </w:style>
  <w:style w:type="paragraph" w:styleId="Voettekst">
    <w:name w:val="footer"/>
    <w:basedOn w:val="Standaard"/>
    <w:link w:val="VoettekstChar"/>
    <w:uiPriority w:val="99"/>
    <w:unhideWhenUsed/>
    <w:rsid w:val="00CC5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5871"/>
  </w:style>
  <w:style w:type="table" w:styleId="Tabelraster">
    <w:name w:val="Table Grid"/>
    <w:basedOn w:val="Standaardtabel"/>
    <w:uiPriority w:val="39"/>
    <w:rsid w:val="00CC5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D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23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755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Leerjaar 1 MZ/VZ periode 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FBEF5A4C</Template>
  <TotalTime>484</TotalTime>
  <Pages>3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Module 3</dc:subject>
  <dc:creator>Anke Ezinga &amp; Giny Moltmaker</dc:creator>
  <cp:keywords/>
  <dc:description/>
  <cp:lastModifiedBy>Ezinga - Sterenberg, A.G.</cp:lastModifiedBy>
  <cp:revision>7</cp:revision>
  <cp:lastPrinted>2017-07-12T14:25:00Z</cp:lastPrinted>
  <dcterms:created xsi:type="dcterms:W3CDTF">2017-07-03T08:51:00Z</dcterms:created>
  <dcterms:modified xsi:type="dcterms:W3CDTF">2017-11-07T13:40:00Z</dcterms:modified>
</cp:coreProperties>
</file>