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07C" w:rsidRPr="00D3521C" w:rsidRDefault="0053507C" w:rsidP="0053507C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 w:rsidRPr="00D3521C">
        <w:rPr>
          <w:rFonts w:eastAsia="Times New Roman" w:cs="Arial"/>
          <w:b/>
          <w:szCs w:val="20"/>
          <w:u w:val="single"/>
          <w:lang w:eastAsia="nl-NL"/>
        </w:rPr>
        <w:t>Taak 4</w:t>
      </w:r>
    </w:p>
    <w:p w:rsidR="0053507C" w:rsidRPr="00D3521C" w:rsidRDefault="0053507C" w:rsidP="0053507C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p w:rsidR="0053507C" w:rsidRPr="00D3521C" w:rsidRDefault="0053507C" w:rsidP="0053507C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938"/>
      </w:tblGrid>
      <w:tr w:rsidR="0053507C" w:rsidRPr="00D3521C" w:rsidTr="008F2276">
        <w:trPr>
          <w:cantSplit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53507C" w:rsidRPr="003F3ADC" w:rsidRDefault="0053507C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53507C" w:rsidRPr="00D3521C" w:rsidRDefault="0053507C" w:rsidP="008F2276">
            <w:pPr>
              <w:keepNext/>
              <w:spacing w:before="240" w:after="60" w:line="240" w:lineRule="auto"/>
              <w:outlineLvl w:val="0"/>
              <w:rPr>
                <w:rFonts w:eastAsia="Times New Roman" w:cs="Arial"/>
                <w:bCs/>
                <w:kern w:val="32"/>
                <w:szCs w:val="20"/>
                <w:lang w:eastAsia="nl-NL"/>
              </w:rPr>
            </w:pPr>
            <w:bookmarkStart w:id="0" w:name="_Toc392508143"/>
            <w:bookmarkStart w:id="1" w:name="_Toc392508374"/>
            <w:bookmarkStart w:id="2" w:name="_Toc435171705"/>
            <w:bookmarkStart w:id="3" w:name="_Toc435171891"/>
            <w:bookmarkStart w:id="4" w:name="_GoBack"/>
            <w:r>
              <w:rPr>
                <w:rFonts w:eastAsia="Times New Roman" w:cs="Arial"/>
                <w:bCs/>
                <w:kern w:val="32"/>
                <w:szCs w:val="20"/>
                <w:lang w:eastAsia="nl-NL"/>
              </w:rPr>
              <w:t xml:space="preserve">Geneesmiddelenkennis </w:t>
            </w:r>
            <w:r w:rsidRPr="00D3521C">
              <w:rPr>
                <w:rFonts w:eastAsia="Times New Roman" w:cs="Arial"/>
                <w:bCs/>
                <w:kern w:val="32"/>
                <w:szCs w:val="20"/>
                <w:lang w:eastAsia="nl-NL"/>
              </w:rPr>
              <w:t>Suikerziekte 2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53507C" w:rsidRPr="00D3521C" w:rsidTr="008F2276">
        <w:trPr>
          <w:cantSplit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53507C" w:rsidRPr="003F3ADC" w:rsidRDefault="0053507C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53507C" w:rsidRPr="00D3521C" w:rsidRDefault="0053507C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Bij type 2 is insuline geen eerste keus. Er zijn dan andere mogelijkheden; dieet, tabletten en pas als dat allemaal niet lukt is het tijd voor insuline. Toch is ook bij de type 2 patiënten een goede controle heel wezenlijk. Ook zij lopen immers de bekende risico’s! (nieren/ogen/zenuwen/bloedvaten)</w:t>
            </w:r>
          </w:p>
        </w:tc>
      </w:tr>
      <w:tr w:rsidR="0053507C" w:rsidRPr="00D3521C" w:rsidTr="008F2276">
        <w:trPr>
          <w:cantSplit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53507C" w:rsidRPr="003F3ADC" w:rsidRDefault="0053507C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3F3AD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53507C" w:rsidRDefault="0053507C" w:rsidP="008F2276">
            <w:pPr>
              <w:spacing w:after="0" w:line="240" w:lineRule="auto"/>
              <w:ind w:left="72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Verdiep je eens in de mogelijkheden voor de behandeling van type 2 diabetes door de volgende vragen te beantwoorden:</w:t>
            </w:r>
          </w:p>
          <w:p w:rsidR="0053507C" w:rsidRPr="00D3521C" w:rsidRDefault="0053507C" w:rsidP="008F2276">
            <w:pPr>
              <w:spacing w:after="0" w:line="240" w:lineRule="auto"/>
              <w:ind w:left="72"/>
              <w:rPr>
                <w:rFonts w:eastAsia="Times New Roman" w:cs="Arial"/>
                <w:szCs w:val="20"/>
                <w:lang w:eastAsia="nl-NL"/>
              </w:rPr>
            </w:pP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Volgens welk stappenschema wordt iemand met type 2 behandeld.</w:t>
            </w: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Heeft een type-2 patiënt altijd medicatie nodig.</w:t>
            </w: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Hoe werken </w:t>
            </w:r>
            <w:proofErr w:type="spellStart"/>
            <w:r>
              <w:rPr>
                <w:rFonts w:eastAsia="Times New Roman" w:cs="Arial"/>
                <w:szCs w:val="20"/>
                <w:lang w:eastAsia="nl-NL"/>
              </w:rPr>
              <w:t>S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ulfonylureumderivaten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(SUD) bij type 2. </w:t>
            </w: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Schrijf een merk- en stofnaam van een SUD op.</w:t>
            </w: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Wat zijn de bijwerkingen van de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SUD's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Noem 2 redenen waarom 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SUD’s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 xml:space="preserve"> niet tijdens de zwangerschap en de </w:t>
            </w:r>
          </w:p>
          <w:p w:rsidR="0053507C" w:rsidRPr="00D3521C" w:rsidRDefault="0053507C" w:rsidP="008F2276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288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  lactatieperiode mogen worden gebruikt.</w:t>
            </w: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Wat zijn de bijwerkingen van M</w:t>
            </w:r>
            <w:r w:rsidRPr="00D3521C">
              <w:rPr>
                <w:rFonts w:eastAsia="Times New Roman" w:cs="Arial"/>
                <w:szCs w:val="20"/>
                <w:lang w:eastAsia="nl-NL"/>
              </w:rPr>
              <w:t>etformine</w:t>
            </w: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Als iemand insuline gebruikt kun je dan zo zeggen welk type diabetes deze </w:t>
            </w:r>
          </w:p>
          <w:p w:rsidR="0053507C" w:rsidRPr="00D3521C" w:rsidRDefault="0053507C" w:rsidP="008F2276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288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   persoon heeft? Leg uit</w:t>
            </w: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Wat is de werking van acarbose (</w:t>
            </w: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Glucobay</w:t>
            </w:r>
            <w:r w:rsidRPr="00D3521C">
              <w:rPr>
                <w:rFonts w:eastAsia="Times New Roman" w:cs="Arial"/>
                <w:szCs w:val="20"/>
                <w:vertAlign w:val="superscript"/>
                <w:lang w:eastAsia="nl-NL"/>
              </w:rPr>
              <w:t>R</w:t>
            </w:r>
            <w:proofErr w:type="spellEnd"/>
            <w:r w:rsidRPr="00D3521C">
              <w:rPr>
                <w:rFonts w:eastAsia="Times New Roman" w:cs="Arial"/>
                <w:szCs w:val="20"/>
                <w:lang w:eastAsia="nl-NL"/>
              </w:rPr>
              <w:t>) bij suikerziekte.</w:t>
            </w:r>
          </w:p>
          <w:p w:rsidR="0053507C" w:rsidRPr="00D3521C" w:rsidRDefault="0053507C" w:rsidP="0053507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Bij de behandeling van type 2 wordt ook heel erg rekening gehouden met</w:t>
            </w:r>
          </w:p>
          <w:p w:rsidR="0053507C" w:rsidRPr="00D3521C" w:rsidRDefault="0053507C" w:rsidP="008F2276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288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 andere risicofactoren voor het bevorderen van arteriosclerose; Noem deze </w:t>
            </w:r>
          </w:p>
          <w:p w:rsidR="0053507C" w:rsidRPr="00D3521C" w:rsidRDefault="0053507C" w:rsidP="008F2276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288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  risicofactoren. </w:t>
            </w:r>
          </w:p>
          <w:p w:rsidR="0053507C" w:rsidRPr="00D3521C" w:rsidRDefault="0053507C" w:rsidP="008F2276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outlineLvl w:val="0"/>
              <w:rPr>
                <w:rFonts w:eastAsia="Times New Roman" w:cs="Arial"/>
                <w:szCs w:val="20"/>
                <w:lang w:eastAsia="nl-NL"/>
              </w:rPr>
            </w:pPr>
          </w:p>
        </w:tc>
      </w:tr>
    </w:tbl>
    <w:p w:rsidR="00453CA7" w:rsidRDefault="0053507C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D2F92"/>
    <w:multiLevelType w:val="singleLevel"/>
    <w:tmpl w:val="8108AC48"/>
    <w:lvl w:ilvl="0">
      <w:start w:val="1"/>
      <w:numFmt w:val="decimal"/>
      <w:lvlText w:val="%1."/>
      <w:lvlJc w:val="right"/>
      <w:pPr>
        <w:tabs>
          <w:tab w:val="num" w:pos="851"/>
        </w:tabs>
        <w:ind w:left="851" w:hanging="56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07C"/>
    <w:rsid w:val="0053507C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D7ACC-401C-4113-ADCE-8328F75D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3507C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2017-04-07T10:54:00Z</dcterms:created>
  <dcterms:modified xsi:type="dcterms:W3CDTF">2017-04-07T10:54:00Z</dcterms:modified>
</cp:coreProperties>
</file>